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9DEBE4">
      <w:pPr>
        <w:jc w:val="center"/>
        <w:rPr>
          <w:sz w:val="32"/>
          <w:szCs w:val="32"/>
        </w:rPr>
      </w:pPr>
    </w:p>
    <w:p w14:paraId="37DB836C">
      <w:pPr>
        <w:jc w:val="center"/>
        <w:rPr>
          <w:sz w:val="32"/>
          <w:szCs w:val="32"/>
        </w:rPr>
      </w:pPr>
    </w:p>
    <w:p w14:paraId="51823A33">
      <w:pPr>
        <w:spacing w:before="156" w:beforeLines="50" w:after="156" w:afterLines="50"/>
        <w:jc w:val="center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202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</w:t>
      </w:r>
      <w:r>
        <w:rPr>
          <w:rFonts w:hint="eastAsia" w:ascii="宋体" w:hAnsi="宋体" w:cs="宋体"/>
          <w:b/>
          <w:bCs/>
          <w:sz w:val="36"/>
          <w:szCs w:val="36"/>
        </w:rPr>
        <w:t>年度温室气体自评估报告</w:t>
      </w:r>
    </w:p>
    <w:p w14:paraId="4DF60BD1">
      <w:pPr>
        <w:jc w:val="center"/>
        <w:rPr>
          <w:sz w:val="32"/>
          <w:szCs w:val="32"/>
        </w:rPr>
      </w:pPr>
    </w:p>
    <w:p w14:paraId="54AA2342">
      <w:pPr>
        <w:jc w:val="center"/>
        <w:rPr>
          <w:sz w:val="32"/>
          <w:szCs w:val="32"/>
        </w:rPr>
      </w:pPr>
    </w:p>
    <w:p w14:paraId="702091D3">
      <w:pPr>
        <w:jc w:val="center"/>
        <w:rPr>
          <w:sz w:val="32"/>
          <w:szCs w:val="32"/>
        </w:rPr>
      </w:pPr>
    </w:p>
    <w:p w14:paraId="2CE1AE69">
      <w:pPr>
        <w:pStyle w:val="2"/>
        <w:rPr>
          <w:sz w:val="32"/>
          <w:szCs w:val="32"/>
        </w:rPr>
      </w:pPr>
    </w:p>
    <w:p w14:paraId="564CA761">
      <w:pPr>
        <w:pStyle w:val="2"/>
        <w:rPr>
          <w:sz w:val="32"/>
          <w:szCs w:val="32"/>
        </w:rPr>
      </w:pPr>
    </w:p>
    <w:p w14:paraId="691886F7">
      <w:pPr>
        <w:spacing w:before="156" w:beforeLines="50" w:after="156" w:afterLines="50" w:line="360" w:lineRule="auto"/>
        <w:ind w:firstLine="2240" w:firstLineChars="800"/>
        <w:rPr>
          <w:rFonts w:hint="eastAsia" w:ascii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</w:rPr>
        <w:t>编制：</w:t>
      </w:r>
      <w:r>
        <w:rPr>
          <w:rFonts w:ascii="宋体"/>
          <w:b/>
          <w:bCs/>
          <w:sz w:val="28"/>
          <w:szCs w:val="28"/>
        </w:rPr>
        <w:t xml:space="preserve"> </w:t>
      </w:r>
      <w:r>
        <w:rPr>
          <w:rFonts w:hint="eastAsia" w:ascii="宋体"/>
          <w:b/>
          <w:bCs/>
          <w:sz w:val="28"/>
          <w:szCs w:val="28"/>
          <w:lang w:val="en-US" w:eastAsia="zh-CN"/>
        </w:rPr>
        <w:t xml:space="preserve"> 徐建峰</w:t>
      </w:r>
    </w:p>
    <w:p w14:paraId="3AD74107">
      <w:pPr>
        <w:spacing w:before="156" w:beforeLines="50" w:after="156" w:afterLines="50" w:line="360" w:lineRule="auto"/>
        <w:ind w:firstLine="2240" w:firstLineChars="800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</w:rPr>
        <w:t>审核：</w:t>
      </w:r>
      <w:r>
        <w:rPr>
          <w:rFonts w:ascii="宋体" w:hAnsi="宋体" w:cs="宋体"/>
          <w:b/>
          <w:bCs/>
          <w:sz w:val="28"/>
          <w:szCs w:val="28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 xml:space="preserve"> 束志湘</w:t>
      </w:r>
    </w:p>
    <w:p w14:paraId="05E71941">
      <w:pPr>
        <w:spacing w:before="156" w:beforeLines="50" w:after="156" w:afterLines="50" w:line="360" w:lineRule="auto"/>
        <w:ind w:firstLine="2240" w:firstLineChars="800"/>
        <w:rPr>
          <w:rFonts w:hint="eastAsia" w:ascii="宋体" w:eastAsiaTheme="minorEastAsia"/>
          <w:b/>
          <w:bCs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bCs/>
          <w:sz w:val="28"/>
          <w:szCs w:val="28"/>
        </w:rPr>
        <w:t>批准：</w:t>
      </w:r>
      <w:r>
        <w:rPr>
          <w:rFonts w:ascii="宋体"/>
          <w:b/>
          <w:bCs/>
          <w:sz w:val="28"/>
          <w:szCs w:val="28"/>
        </w:rPr>
        <w:t xml:space="preserve"> </w:t>
      </w:r>
      <w:r>
        <w:rPr>
          <w:rFonts w:hint="eastAsia" w:ascii="宋体"/>
          <w:b/>
          <w:bCs/>
          <w:sz w:val="28"/>
          <w:szCs w:val="28"/>
          <w:lang w:val="en-US" w:eastAsia="zh-CN"/>
        </w:rPr>
        <w:t xml:space="preserve"> 蒋亚明</w:t>
      </w:r>
    </w:p>
    <w:p w14:paraId="22C818B8">
      <w:pPr>
        <w:spacing w:before="156" w:beforeLines="50" w:after="156" w:afterLines="50" w:line="360" w:lineRule="auto"/>
        <w:jc w:val="center"/>
        <w:rPr>
          <w:rFonts w:ascii="宋体"/>
          <w:b/>
          <w:bCs/>
          <w:sz w:val="28"/>
          <w:szCs w:val="28"/>
        </w:rPr>
      </w:pPr>
    </w:p>
    <w:p w14:paraId="43742CE3">
      <w:pPr>
        <w:spacing w:before="156" w:beforeLines="50" w:after="156" w:afterLines="50" w:line="360" w:lineRule="auto"/>
        <w:jc w:val="center"/>
        <w:rPr>
          <w:rFonts w:ascii="宋体"/>
          <w:b/>
          <w:bCs/>
          <w:sz w:val="28"/>
          <w:szCs w:val="28"/>
        </w:rPr>
      </w:pPr>
    </w:p>
    <w:p w14:paraId="320E3CF8">
      <w:pPr>
        <w:spacing w:before="156" w:beforeLines="50" w:after="156" w:afterLines="50" w:line="360" w:lineRule="auto"/>
        <w:jc w:val="center"/>
        <w:rPr>
          <w:rFonts w:ascii="宋体"/>
          <w:b/>
          <w:bCs/>
          <w:sz w:val="28"/>
          <w:szCs w:val="28"/>
        </w:rPr>
      </w:pPr>
    </w:p>
    <w:p w14:paraId="6DE847A1">
      <w:pPr>
        <w:spacing w:before="156" w:beforeLines="50" w:after="156" w:afterLines="50" w:line="360" w:lineRule="auto"/>
        <w:jc w:val="center"/>
        <w:rPr>
          <w:rFonts w:ascii="宋体"/>
          <w:b/>
          <w:bCs/>
          <w:sz w:val="28"/>
          <w:szCs w:val="28"/>
        </w:rPr>
      </w:pPr>
    </w:p>
    <w:p w14:paraId="60F6CA57">
      <w:pPr>
        <w:spacing w:before="156" w:beforeLines="50" w:after="156" w:afterLines="50" w:line="360" w:lineRule="auto"/>
        <w:jc w:val="center"/>
        <w:rPr>
          <w:rFonts w:ascii="宋体"/>
          <w:b/>
          <w:bCs/>
          <w:sz w:val="28"/>
          <w:szCs w:val="28"/>
        </w:rPr>
      </w:pPr>
    </w:p>
    <w:p w14:paraId="2791AD7F">
      <w:pPr>
        <w:spacing w:before="156" w:beforeLines="50" w:after="156" w:afterLines="50"/>
        <w:jc w:val="center"/>
        <w:rPr>
          <w:rFonts w:hint="eastAsia" w:ascii="宋体" w:hAnsi="宋体" w:cs="宋体" w:eastAsiaTheme="minorEastAsia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常州理工科技股份有限公司</w:t>
      </w:r>
    </w:p>
    <w:p w14:paraId="322A3544">
      <w:pPr>
        <w:spacing w:before="156" w:beforeLines="50" w:after="156" w:afterLines="50"/>
        <w:jc w:val="center"/>
        <w:rPr>
          <w:rFonts w:ascii="宋体" w:hAnsi="宋体"/>
          <w:bCs/>
          <w:sz w:val="24"/>
        </w:rPr>
      </w:pPr>
      <w:r>
        <w:rPr>
          <w:rFonts w:hint="eastAsia" w:ascii="宋体" w:hAnsi="宋体" w:cs="宋体"/>
          <w:b/>
          <w:bCs/>
          <w:sz w:val="28"/>
          <w:szCs w:val="28"/>
        </w:rPr>
        <w:t>二0二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五</w:t>
      </w:r>
      <w:r>
        <w:rPr>
          <w:rFonts w:hint="eastAsia" w:ascii="宋体" w:hAnsi="宋体" w:cs="宋体"/>
          <w:b/>
          <w:bCs/>
          <w:sz w:val="28"/>
          <w:szCs w:val="28"/>
        </w:rPr>
        <w:t>年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三</w:t>
      </w:r>
      <w:r>
        <w:rPr>
          <w:rFonts w:hint="eastAsia" w:ascii="宋体" w:hAnsi="宋体" w:cs="宋体"/>
          <w:b/>
          <w:bCs/>
          <w:sz w:val="28"/>
          <w:szCs w:val="28"/>
        </w:rPr>
        <w:t>月</w:t>
      </w:r>
      <w:r>
        <w:rPr>
          <w:rFonts w:ascii="仿宋_GB2312" w:eastAsia="仿宋_GB2312"/>
          <w:b/>
          <w:bCs/>
          <w:sz w:val="28"/>
          <w:szCs w:val="28"/>
        </w:rPr>
        <w:br w:type="page"/>
      </w:r>
      <w:r>
        <w:rPr>
          <w:rFonts w:hint="eastAsia" w:ascii="宋体" w:hAnsi="宋体" w:cs="仿宋_GB2312"/>
          <w:b/>
          <w:bCs/>
          <w:sz w:val="24"/>
        </w:rPr>
        <w:t>目  录</w:t>
      </w:r>
    </w:p>
    <w:p w14:paraId="0397931E">
      <w:pPr>
        <w:pStyle w:val="9"/>
        <w:tabs>
          <w:tab w:val="right" w:leader="dot" w:pos="8659"/>
        </w:tabs>
        <w:spacing w:line="480" w:lineRule="auto"/>
        <w:rPr>
          <w:rFonts w:ascii="宋体" w:hAnsi="宋体"/>
          <w:sz w:val="24"/>
        </w:rPr>
      </w:pPr>
      <w:bookmarkStart w:id="0" w:name="_Toc287602866"/>
      <w:bookmarkStart w:id="1" w:name="_Toc151311808"/>
      <w:bookmarkStart w:id="2" w:name="_Toc26227"/>
      <w:r>
        <w:rPr>
          <w:rFonts w:ascii="宋体" w:hAnsi="宋体" w:cs="楷体_GB2312"/>
          <w:bCs/>
          <w:sz w:val="24"/>
        </w:rPr>
        <w:fldChar w:fldCharType="begin"/>
      </w:r>
      <w:r>
        <w:rPr>
          <w:rFonts w:ascii="宋体" w:hAnsi="宋体" w:cs="楷体_GB2312"/>
          <w:bCs/>
          <w:sz w:val="24"/>
        </w:rPr>
        <w:instrText xml:space="preserve">TOC \o "1-2" \h  \u </w:instrText>
      </w:r>
      <w:r>
        <w:rPr>
          <w:rFonts w:ascii="宋体" w:hAnsi="宋体" w:cs="楷体_GB2312"/>
          <w:bCs/>
          <w:sz w:val="24"/>
        </w:rPr>
        <w:fldChar w:fldCharType="separate"/>
      </w:r>
      <w:r>
        <w:fldChar w:fldCharType="begin"/>
      </w:r>
      <w:r>
        <w:instrText xml:space="preserve"> HYPERLINK \l "_Toc522192378" </w:instrText>
      </w:r>
      <w:r>
        <w:fldChar w:fldCharType="separate"/>
      </w:r>
      <w:r>
        <w:rPr>
          <w:rStyle w:val="15"/>
          <w:rFonts w:hint="eastAsia" w:ascii="宋体" w:hAnsi="宋体" w:cs="宋体"/>
          <w:bCs/>
          <w:sz w:val="24"/>
        </w:rPr>
        <w:t>第一章 评审事项说明</w:t>
      </w:r>
      <w:r>
        <w:rPr>
          <w:rFonts w:ascii="宋体" w:hAnsi="宋体"/>
          <w:sz w:val="24"/>
        </w:rPr>
        <w:tab/>
      </w:r>
      <w:r>
        <w:rPr>
          <w:rFonts w:ascii="宋体" w:hAnsi="宋体"/>
          <w:sz w:val="24"/>
        </w:rPr>
        <w:fldChar w:fldCharType="begin"/>
      </w:r>
      <w:r>
        <w:rPr>
          <w:rFonts w:ascii="宋体" w:hAnsi="宋体"/>
          <w:sz w:val="24"/>
        </w:rPr>
        <w:instrText xml:space="preserve"> PAGEREF _Toc522192378 \h </w:instrText>
      </w:r>
      <w:r>
        <w:rPr>
          <w:rFonts w:ascii="宋体" w:hAnsi="宋体"/>
          <w:sz w:val="24"/>
        </w:rPr>
        <w:fldChar w:fldCharType="separate"/>
      </w:r>
      <w:r>
        <w:rPr>
          <w:rFonts w:ascii="宋体" w:hAnsi="宋体"/>
          <w:sz w:val="24"/>
        </w:rPr>
        <w:t>3</w:t>
      </w:r>
      <w:r>
        <w:rPr>
          <w:rFonts w:ascii="宋体" w:hAnsi="宋体"/>
          <w:sz w:val="24"/>
        </w:rPr>
        <w:fldChar w:fldCharType="end"/>
      </w:r>
      <w:r>
        <w:rPr>
          <w:rFonts w:ascii="宋体" w:hAnsi="宋体"/>
          <w:sz w:val="24"/>
        </w:rPr>
        <w:fldChar w:fldCharType="end"/>
      </w:r>
    </w:p>
    <w:p w14:paraId="1B342D35">
      <w:pPr>
        <w:pStyle w:val="10"/>
        <w:tabs>
          <w:tab w:val="right" w:leader="dot" w:pos="8659"/>
        </w:tabs>
        <w:spacing w:line="480" w:lineRule="auto"/>
        <w:rPr>
          <w:rFonts w:ascii="宋体" w:hAnsi="宋体"/>
          <w:sz w:val="24"/>
        </w:rPr>
      </w:pPr>
      <w:r>
        <w:fldChar w:fldCharType="begin"/>
      </w:r>
      <w:r>
        <w:instrText xml:space="preserve"> HYPERLINK \l "_Toc522192379" </w:instrText>
      </w:r>
      <w:r>
        <w:fldChar w:fldCharType="separate"/>
      </w:r>
      <w:r>
        <w:rPr>
          <w:rStyle w:val="15"/>
          <w:rFonts w:ascii="宋体" w:hAnsi="宋体"/>
          <w:bCs/>
          <w:sz w:val="24"/>
        </w:rPr>
        <w:t xml:space="preserve">1.1 </w:t>
      </w:r>
      <w:r>
        <w:rPr>
          <w:rStyle w:val="15"/>
          <w:rFonts w:hint="eastAsia" w:ascii="宋体" w:hAnsi="宋体" w:cs="宋体"/>
          <w:bCs/>
          <w:sz w:val="24"/>
        </w:rPr>
        <w:t>评审目的</w:t>
      </w:r>
      <w:r>
        <w:rPr>
          <w:rFonts w:ascii="宋体" w:hAnsi="宋体"/>
          <w:sz w:val="24"/>
        </w:rPr>
        <w:tab/>
      </w:r>
      <w:r>
        <w:rPr>
          <w:rFonts w:ascii="宋体" w:hAnsi="宋体"/>
          <w:sz w:val="24"/>
        </w:rPr>
        <w:fldChar w:fldCharType="begin"/>
      </w:r>
      <w:r>
        <w:rPr>
          <w:rFonts w:ascii="宋体" w:hAnsi="宋体"/>
          <w:sz w:val="24"/>
        </w:rPr>
        <w:instrText xml:space="preserve"> PAGEREF _Toc522192379 \h </w:instrText>
      </w:r>
      <w:r>
        <w:rPr>
          <w:rFonts w:ascii="宋体" w:hAnsi="宋体"/>
          <w:sz w:val="24"/>
        </w:rPr>
        <w:fldChar w:fldCharType="separate"/>
      </w:r>
      <w:r>
        <w:rPr>
          <w:rFonts w:ascii="宋体" w:hAnsi="宋体"/>
          <w:sz w:val="24"/>
        </w:rPr>
        <w:t>3</w:t>
      </w:r>
      <w:r>
        <w:rPr>
          <w:rFonts w:ascii="宋体" w:hAnsi="宋体"/>
          <w:sz w:val="24"/>
        </w:rPr>
        <w:fldChar w:fldCharType="end"/>
      </w:r>
      <w:r>
        <w:rPr>
          <w:rFonts w:ascii="宋体" w:hAnsi="宋体"/>
          <w:sz w:val="24"/>
        </w:rPr>
        <w:fldChar w:fldCharType="end"/>
      </w:r>
    </w:p>
    <w:p w14:paraId="23A92E82">
      <w:pPr>
        <w:pStyle w:val="10"/>
        <w:tabs>
          <w:tab w:val="right" w:leader="dot" w:pos="8659"/>
        </w:tabs>
        <w:spacing w:line="480" w:lineRule="auto"/>
        <w:rPr>
          <w:rFonts w:ascii="宋体" w:hAnsi="宋体"/>
          <w:sz w:val="24"/>
        </w:rPr>
      </w:pPr>
      <w:r>
        <w:fldChar w:fldCharType="begin"/>
      </w:r>
      <w:r>
        <w:instrText xml:space="preserve"> HYPERLINK \l "_Toc522192380" </w:instrText>
      </w:r>
      <w:r>
        <w:fldChar w:fldCharType="separate"/>
      </w:r>
      <w:r>
        <w:rPr>
          <w:rStyle w:val="15"/>
          <w:rFonts w:ascii="宋体" w:hAnsi="宋体"/>
          <w:bCs/>
          <w:sz w:val="24"/>
        </w:rPr>
        <w:t xml:space="preserve">1.2 </w:t>
      </w:r>
      <w:r>
        <w:rPr>
          <w:rStyle w:val="15"/>
          <w:rFonts w:hint="eastAsia" w:ascii="宋体" w:hAnsi="宋体" w:cs="宋体"/>
          <w:bCs/>
          <w:sz w:val="24"/>
        </w:rPr>
        <w:t>评审依据</w:t>
      </w:r>
      <w:r>
        <w:rPr>
          <w:rFonts w:ascii="宋体" w:hAnsi="宋体"/>
          <w:sz w:val="24"/>
        </w:rPr>
        <w:tab/>
      </w:r>
      <w:r>
        <w:rPr>
          <w:rFonts w:ascii="宋体" w:hAnsi="宋体"/>
          <w:sz w:val="24"/>
        </w:rPr>
        <w:fldChar w:fldCharType="begin"/>
      </w:r>
      <w:r>
        <w:rPr>
          <w:rFonts w:ascii="宋体" w:hAnsi="宋体"/>
          <w:sz w:val="24"/>
        </w:rPr>
        <w:instrText xml:space="preserve"> PAGEREF _Toc522192380 \h </w:instrText>
      </w:r>
      <w:r>
        <w:rPr>
          <w:rFonts w:ascii="宋体" w:hAnsi="宋体"/>
          <w:sz w:val="24"/>
        </w:rPr>
        <w:fldChar w:fldCharType="separate"/>
      </w:r>
      <w:r>
        <w:rPr>
          <w:rFonts w:ascii="宋体" w:hAnsi="宋体"/>
          <w:sz w:val="24"/>
        </w:rPr>
        <w:t>3</w:t>
      </w:r>
      <w:r>
        <w:rPr>
          <w:rFonts w:ascii="宋体" w:hAnsi="宋体"/>
          <w:sz w:val="24"/>
        </w:rPr>
        <w:fldChar w:fldCharType="end"/>
      </w:r>
      <w:r>
        <w:rPr>
          <w:rFonts w:ascii="宋体" w:hAnsi="宋体"/>
          <w:sz w:val="24"/>
        </w:rPr>
        <w:fldChar w:fldCharType="end"/>
      </w:r>
    </w:p>
    <w:p w14:paraId="0998BFA0">
      <w:pPr>
        <w:pStyle w:val="10"/>
        <w:tabs>
          <w:tab w:val="right" w:leader="dot" w:pos="8659"/>
        </w:tabs>
        <w:spacing w:line="480" w:lineRule="auto"/>
        <w:rPr>
          <w:rFonts w:ascii="宋体" w:hAnsi="宋体"/>
          <w:sz w:val="24"/>
        </w:rPr>
      </w:pPr>
      <w:r>
        <w:fldChar w:fldCharType="begin"/>
      </w:r>
      <w:r>
        <w:instrText xml:space="preserve"> HYPERLINK \l "_Toc522192381" </w:instrText>
      </w:r>
      <w:r>
        <w:fldChar w:fldCharType="separate"/>
      </w:r>
      <w:r>
        <w:rPr>
          <w:rStyle w:val="15"/>
          <w:rFonts w:ascii="宋体" w:hAnsi="宋体"/>
          <w:bCs/>
          <w:sz w:val="24"/>
        </w:rPr>
        <w:t>1.3</w:t>
      </w:r>
      <w:r>
        <w:rPr>
          <w:rStyle w:val="15"/>
          <w:rFonts w:hint="eastAsia" w:ascii="宋体" w:hAnsi="宋体"/>
          <w:bCs/>
          <w:sz w:val="24"/>
        </w:rPr>
        <w:t xml:space="preserve"> </w:t>
      </w:r>
      <w:r>
        <w:rPr>
          <w:rStyle w:val="15"/>
          <w:rFonts w:hint="eastAsia" w:ascii="宋体" w:hAnsi="宋体" w:cs="宋体"/>
          <w:bCs/>
          <w:sz w:val="24"/>
        </w:rPr>
        <w:t>评审范围及内容</w:t>
      </w:r>
      <w:r>
        <w:rPr>
          <w:rFonts w:ascii="宋体" w:hAnsi="宋体"/>
          <w:sz w:val="24"/>
        </w:rPr>
        <w:tab/>
      </w:r>
      <w:r>
        <w:rPr>
          <w:rFonts w:ascii="宋体" w:hAnsi="宋体"/>
          <w:sz w:val="24"/>
        </w:rPr>
        <w:fldChar w:fldCharType="begin"/>
      </w:r>
      <w:r>
        <w:rPr>
          <w:rFonts w:ascii="宋体" w:hAnsi="宋体"/>
          <w:sz w:val="24"/>
        </w:rPr>
        <w:instrText xml:space="preserve"> PAGEREF _Toc522192381 \h </w:instrText>
      </w:r>
      <w:r>
        <w:rPr>
          <w:rFonts w:ascii="宋体" w:hAnsi="宋体"/>
          <w:sz w:val="24"/>
        </w:rPr>
        <w:fldChar w:fldCharType="separate"/>
      </w:r>
      <w:r>
        <w:rPr>
          <w:rFonts w:ascii="宋体" w:hAnsi="宋体"/>
          <w:sz w:val="24"/>
        </w:rPr>
        <w:t>3</w:t>
      </w:r>
      <w:r>
        <w:rPr>
          <w:rFonts w:ascii="宋体" w:hAnsi="宋体"/>
          <w:sz w:val="24"/>
        </w:rPr>
        <w:fldChar w:fldCharType="end"/>
      </w:r>
      <w:r>
        <w:rPr>
          <w:rFonts w:ascii="宋体" w:hAnsi="宋体"/>
          <w:sz w:val="24"/>
        </w:rPr>
        <w:fldChar w:fldCharType="end"/>
      </w:r>
    </w:p>
    <w:p w14:paraId="33326D19">
      <w:pPr>
        <w:pStyle w:val="10"/>
        <w:tabs>
          <w:tab w:val="right" w:leader="dot" w:pos="8659"/>
        </w:tabs>
        <w:spacing w:line="480" w:lineRule="auto"/>
        <w:rPr>
          <w:rFonts w:ascii="宋体" w:hAnsi="宋体"/>
          <w:sz w:val="24"/>
        </w:rPr>
      </w:pPr>
      <w:r>
        <w:fldChar w:fldCharType="begin"/>
      </w:r>
      <w:r>
        <w:instrText xml:space="preserve"> HYPERLINK \l "_Toc522192382" </w:instrText>
      </w:r>
      <w:r>
        <w:fldChar w:fldCharType="separate"/>
      </w:r>
      <w:r>
        <w:rPr>
          <w:rStyle w:val="15"/>
          <w:rFonts w:ascii="宋体" w:hAnsi="宋体"/>
          <w:bCs/>
          <w:sz w:val="24"/>
        </w:rPr>
        <w:t>1.4</w:t>
      </w:r>
      <w:r>
        <w:rPr>
          <w:rStyle w:val="15"/>
          <w:rFonts w:hint="eastAsia" w:ascii="宋体" w:hAnsi="宋体"/>
          <w:bCs/>
          <w:sz w:val="24"/>
        </w:rPr>
        <w:t xml:space="preserve"> 温室气体</w:t>
      </w:r>
      <w:r>
        <w:rPr>
          <w:rStyle w:val="15"/>
          <w:rFonts w:hint="eastAsia" w:ascii="宋体" w:hAnsi="宋体" w:cs="宋体"/>
          <w:bCs/>
          <w:sz w:val="24"/>
        </w:rPr>
        <w:t>评审时间段</w:t>
      </w:r>
      <w:r>
        <w:rPr>
          <w:rFonts w:ascii="宋体" w:hAnsi="宋体"/>
          <w:sz w:val="24"/>
        </w:rPr>
        <w:tab/>
      </w:r>
      <w:r>
        <w:rPr>
          <w:rFonts w:hint="eastAsia" w:ascii="宋体" w:hAnsi="宋体"/>
          <w:sz w:val="24"/>
        </w:rPr>
        <w:t>3</w:t>
      </w:r>
      <w:r>
        <w:rPr>
          <w:rFonts w:hint="eastAsia" w:ascii="宋体" w:hAnsi="宋体"/>
          <w:sz w:val="24"/>
        </w:rPr>
        <w:fldChar w:fldCharType="end"/>
      </w:r>
    </w:p>
    <w:p w14:paraId="0AC6E509">
      <w:pPr>
        <w:pStyle w:val="10"/>
        <w:tabs>
          <w:tab w:val="right" w:leader="dot" w:pos="8659"/>
        </w:tabs>
        <w:spacing w:line="480" w:lineRule="auto"/>
        <w:rPr>
          <w:rFonts w:ascii="宋体" w:hAnsi="宋体"/>
          <w:sz w:val="24"/>
        </w:rPr>
      </w:pPr>
      <w:r>
        <w:fldChar w:fldCharType="begin"/>
      </w:r>
      <w:r>
        <w:instrText xml:space="preserve"> HYPERLINK \l "_Toc522192383" </w:instrText>
      </w:r>
      <w:r>
        <w:fldChar w:fldCharType="separate"/>
      </w:r>
      <w:r>
        <w:rPr>
          <w:rStyle w:val="15"/>
          <w:rFonts w:ascii="宋体" w:hAnsi="宋体"/>
          <w:bCs/>
          <w:sz w:val="24"/>
        </w:rPr>
        <w:t>1.5</w:t>
      </w:r>
      <w:r>
        <w:rPr>
          <w:rStyle w:val="15"/>
          <w:rFonts w:hint="eastAsia" w:ascii="宋体" w:hAnsi="宋体"/>
          <w:bCs/>
          <w:sz w:val="24"/>
        </w:rPr>
        <w:t xml:space="preserve"> </w:t>
      </w:r>
      <w:r>
        <w:rPr>
          <w:rStyle w:val="15"/>
          <w:rFonts w:hint="eastAsia" w:ascii="宋体" w:hAnsi="宋体" w:cs="宋体"/>
          <w:bCs/>
          <w:sz w:val="24"/>
        </w:rPr>
        <w:t>评审组成员和评审日期</w:t>
      </w:r>
      <w:r>
        <w:rPr>
          <w:rFonts w:ascii="宋体" w:hAnsi="宋体"/>
          <w:sz w:val="24"/>
        </w:rPr>
        <w:tab/>
      </w:r>
      <w:r>
        <w:rPr>
          <w:rFonts w:hint="eastAsia" w:ascii="宋体" w:hAnsi="宋体"/>
          <w:sz w:val="24"/>
        </w:rPr>
        <w:t>3</w:t>
      </w:r>
      <w:r>
        <w:rPr>
          <w:rFonts w:hint="eastAsia" w:ascii="宋体" w:hAnsi="宋体"/>
          <w:sz w:val="24"/>
        </w:rPr>
        <w:fldChar w:fldCharType="end"/>
      </w:r>
    </w:p>
    <w:p w14:paraId="1199D25C">
      <w:pPr>
        <w:pStyle w:val="9"/>
        <w:tabs>
          <w:tab w:val="right" w:leader="dot" w:pos="8659"/>
        </w:tabs>
        <w:spacing w:line="480" w:lineRule="auto"/>
        <w:rPr>
          <w:rFonts w:ascii="宋体" w:hAnsi="宋体"/>
          <w:sz w:val="24"/>
        </w:rPr>
      </w:pPr>
      <w:r>
        <w:fldChar w:fldCharType="begin"/>
      </w:r>
      <w:r>
        <w:instrText xml:space="preserve"> HYPERLINK \l "_Toc522192384" </w:instrText>
      </w:r>
      <w:r>
        <w:fldChar w:fldCharType="separate"/>
      </w:r>
      <w:r>
        <w:rPr>
          <w:rStyle w:val="15"/>
          <w:rFonts w:hint="eastAsia" w:ascii="宋体" w:hAnsi="宋体" w:cs="宋体"/>
          <w:bCs/>
          <w:sz w:val="24"/>
        </w:rPr>
        <w:t>第二章 企业基本情况</w:t>
      </w:r>
      <w:r>
        <w:rPr>
          <w:rFonts w:ascii="宋体" w:hAnsi="宋体"/>
          <w:sz w:val="24"/>
        </w:rPr>
        <w:tab/>
      </w:r>
      <w:r>
        <w:rPr>
          <w:rFonts w:hint="eastAsia" w:ascii="宋体" w:hAnsi="宋体"/>
          <w:sz w:val="24"/>
        </w:rPr>
        <w:t>4</w:t>
      </w:r>
      <w:r>
        <w:rPr>
          <w:rFonts w:hint="eastAsia" w:ascii="宋体" w:hAnsi="宋体"/>
          <w:sz w:val="24"/>
        </w:rPr>
        <w:fldChar w:fldCharType="end"/>
      </w:r>
    </w:p>
    <w:p w14:paraId="0B079F3C">
      <w:pPr>
        <w:pStyle w:val="9"/>
        <w:tabs>
          <w:tab w:val="right" w:leader="dot" w:pos="8659"/>
        </w:tabs>
        <w:spacing w:line="480" w:lineRule="auto"/>
        <w:rPr>
          <w:rFonts w:ascii="宋体" w:hAnsi="宋体"/>
          <w:sz w:val="24"/>
        </w:rPr>
      </w:pPr>
      <w:r>
        <w:fldChar w:fldCharType="begin"/>
      </w:r>
      <w:r>
        <w:instrText xml:space="preserve"> HYPERLINK \l "_Toc522192385" </w:instrText>
      </w:r>
      <w:r>
        <w:fldChar w:fldCharType="separate"/>
      </w:r>
      <w:r>
        <w:rPr>
          <w:rStyle w:val="15"/>
          <w:rFonts w:hint="eastAsia" w:ascii="宋体" w:hAnsi="宋体" w:cs="宋体"/>
          <w:bCs/>
          <w:sz w:val="24"/>
        </w:rPr>
        <w:t>第三章 企业温室气体排放分析</w:t>
      </w:r>
      <w:r>
        <w:rPr>
          <w:rFonts w:ascii="宋体" w:hAnsi="宋体"/>
          <w:sz w:val="24"/>
        </w:rPr>
        <w:tab/>
      </w:r>
      <w:r>
        <w:rPr>
          <w:rFonts w:hint="eastAsia" w:ascii="宋体" w:hAnsi="宋体"/>
          <w:sz w:val="24"/>
        </w:rPr>
        <w:t>5</w:t>
      </w:r>
      <w:r>
        <w:rPr>
          <w:rFonts w:hint="eastAsia" w:ascii="宋体" w:hAnsi="宋体"/>
          <w:sz w:val="24"/>
        </w:rPr>
        <w:fldChar w:fldCharType="end"/>
      </w:r>
    </w:p>
    <w:p w14:paraId="4CD29DEE">
      <w:pPr>
        <w:pStyle w:val="9"/>
        <w:tabs>
          <w:tab w:val="right" w:leader="dot" w:pos="8659"/>
        </w:tabs>
        <w:spacing w:line="480" w:lineRule="auto"/>
        <w:rPr>
          <w:rFonts w:ascii="宋体" w:hAnsi="宋体"/>
          <w:sz w:val="24"/>
        </w:rPr>
      </w:pPr>
      <w:r>
        <w:fldChar w:fldCharType="begin"/>
      </w:r>
      <w:r>
        <w:instrText xml:space="preserve"> HYPERLINK \l "_Toc522192394" </w:instrText>
      </w:r>
      <w:r>
        <w:fldChar w:fldCharType="separate"/>
      </w:r>
      <w:r>
        <w:rPr>
          <w:rStyle w:val="15"/>
          <w:rFonts w:hint="eastAsia" w:ascii="宋体" w:hAnsi="宋体" w:cs="宋体"/>
          <w:bCs/>
          <w:sz w:val="24"/>
        </w:rPr>
        <w:t>第四章 改进方案</w:t>
      </w:r>
      <w:r>
        <w:rPr>
          <w:rFonts w:ascii="宋体" w:hAnsi="宋体"/>
          <w:sz w:val="24"/>
        </w:rPr>
        <w:tab/>
      </w:r>
      <w:r>
        <w:rPr>
          <w:rFonts w:hint="eastAsia" w:ascii="宋体" w:hAnsi="宋体"/>
          <w:sz w:val="24"/>
        </w:rPr>
        <w:t>6</w:t>
      </w:r>
      <w:r>
        <w:rPr>
          <w:rFonts w:hint="eastAsia" w:ascii="宋体" w:hAnsi="宋体"/>
          <w:sz w:val="24"/>
        </w:rPr>
        <w:fldChar w:fldCharType="end"/>
      </w:r>
    </w:p>
    <w:p w14:paraId="17708A11">
      <w:pPr>
        <w:pStyle w:val="9"/>
        <w:tabs>
          <w:tab w:val="right" w:leader="dot" w:pos="8659"/>
        </w:tabs>
        <w:spacing w:line="480" w:lineRule="auto"/>
        <w:rPr>
          <w:rFonts w:ascii="宋体" w:hAnsi="宋体"/>
          <w:sz w:val="24"/>
        </w:rPr>
      </w:pPr>
      <w:r>
        <w:fldChar w:fldCharType="begin"/>
      </w:r>
      <w:r>
        <w:instrText xml:space="preserve"> HYPERLINK \l "_Toc522192395" </w:instrText>
      </w:r>
      <w:r>
        <w:fldChar w:fldCharType="separate"/>
      </w:r>
      <w:r>
        <w:rPr>
          <w:rStyle w:val="15"/>
          <w:rFonts w:hint="eastAsia" w:ascii="宋体" w:hAnsi="宋体" w:cs="宋体"/>
          <w:bCs/>
          <w:sz w:val="24"/>
        </w:rPr>
        <w:t>第五章 未来温室气体排放评估</w:t>
      </w:r>
      <w:r>
        <w:rPr>
          <w:rFonts w:ascii="宋体" w:hAnsi="宋体"/>
          <w:sz w:val="24"/>
        </w:rPr>
        <w:tab/>
      </w:r>
      <w:r>
        <w:rPr>
          <w:rFonts w:hint="eastAsia" w:ascii="宋体" w:hAnsi="宋体"/>
          <w:sz w:val="24"/>
        </w:rPr>
        <w:t>6</w:t>
      </w:r>
      <w:r>
        <w:rPr>
          <w:rFonts w:hint="eastAsia" w:ascii="宋体" w:hAnsi="宋体"/>
          <w:sz w:val="24"/>
        </w:rPr>
        <w:fldChar w:fldCharType="end"/>
      </w:r>
    </w:p>
    <w:p w14:paraId="3CAA313C">
      <w:r>
        <w:rPr>
          <w:rFonts w:hint="eastAsia" w:ascii="宋体" w:hAnsi="宋体"/>
          <w:sz w:val="24"/>
        </w:rPr>
        <w:t>第六章 总结............................................................7</w:t>
      </w:r>
      <w:r>
        <w:rPr>
          <w:rFonts w:ascii="宋体" w:hAnsi="宋体"/>
          <w:sz w:val="24"/>
        </w:rPr>
        <w:tab/>
      </w:r>
    </w:p>
    <w:p w14:paraId="27AE61B0">
      <w:pPr>
        <w:spacing w:before="156" w:beforeLines="50" w:after="156" w:afterLines="50" w:line="480" w:lineRule="auto"/>
        <w:rPr>
          <w:rFonts w:ascii="楷体_GB2312" w:eastAsia="楷体_GB2312"/>
          <w:b/>
          <w:bCs/>
          <w:sz w:val="24"/>
        </w:rPr>
        <w:sectPr>
          <w:headerReference r:id="rId3" w:type="default"/>
          <w:footerReference r:id="rId4" w:type="default"/>
          <w:pgSz w:w="11906" w:h="16838"/>
          <w:pgMar w:top="1134" w:right="1134" w:bottom="1134" w:left="1134" w:header="851" w:footer="992" w:gutter="0"/>
          <w:cols w:space="720" w:num="1"/>
          <w:docGrid w:type="linesAndChars" w:linePitch="312" w:charSpace="0"/>
        </w:sectPr>
      </w:pPr>
      <w:r>
        <w:rPr>
          <w:rFonts w:ascii="宋体" w:hAnsi="宋体" w:cs="楷体_GB2312"/>
          <w:bCs/>
          <w:sz w:val="24"/>
        </w:rPr>
        <w:fldChar w:fldCharType="end"/>
      </w:r>
    </w:p>
    <w:p w14:paraId="3343B3CC">
      <w:pPr>
        <w:snapToGrid w:val="0"/>
        <w:spacing w:before="156" w:beforeLines="50" w:after="156" w:afterLines="50" w:line="360" w:lineRule="auto"/>
        <w:jc w:val="center"/>
        <w:outlineLvl w:val="0"/>
        <w:rPr>
          <w:rFonts w:ascii="宋体"/>
          <w:b/>
          <w:bCs/>
          <w:sz w:val="24"/>
        </w:rPr>
      </w:pPr>
      <w:bookmarkStart w:id="3" w:name="_Toc522192378"/>
      <w:bookmarkStart w:id="4" w:name="_Toc29155"/>
      <w:r>
        <w:rPr>
          <w:rFonts w:hint="eastAsia" w:ascii="宋体" w:hAnsi="宋体" w:cs="宋体"/>
          <w:b/>
          <w:bCs/>
          <w:sz w:val="24"/>
        </w:rPr>
        <w:t>第一章  评审事项说明</w:t>
      </w:r>
      <w:bookmarkEnd w:id="0"/>
      <w:bookmarkEnd w:id="1"/>
      <w:bookmarkEnd w:id="2"/>
      <w:bookmarkEnd w:id="3"/>
      <w:bookmarkEnd w:id="4"/>
    </w:p>
    <w:p w14:paraId="30620204">
      <w:pPr>
        <w:snapToGrid w:val="0"/>
        <w:spacing w:before="156" w:beforeLines="50" w:after="156" w:afterLines="50" w:line="440" w:lineRule="exact"/>
        <w:outlineLvl w:val="1"/>
        <w:rPr>
          <w:b/>
          <w:bCs/>
          <w:sz w:val="24"/>
        </w:rPr>
      </w:pPr>
      <w:bookmarkStart w:id="5" w:name="_Toc522192379"/>
      <w:bookmarkStart w:id="6" w:name="_Toc14487"/>
      <w:bookmarkStart w:id="7" w:name="_Toc287602867"/>
      <w:bookmarkStart w:id="8" w:name="_Toc13485"/>
      <w:r>
        <w:rPr>
          <w:b/>
          <w:bCs/>
          <w:sz w:val="24"/>
        </w:rPr>
        <w:t xml:space="preserve">1.1 </w:t>
      </w:r>
      <w:r>
        <w:rPr>
          <w:rFonts w:hint="eastAsia" w:cs="宋体"/>
          <w:b/>
          <w:bCs/>
          <w:sz w:val="24"/>
        </w:rPr>
        <w:t>评审目的</w:t>
      </w:r>
      <w:bookmarkEnd w:id="5"/>
      <w:bookmarkEnd w:id="6"/>
      <w:bookmarkEnd w:id="7"/>
      <w:bookmarkEnd w:id="8"/>
    </w:p>
    <w:p w14:paraId="2CEE6429">
      <w:pPr>
        <w:adjustRightInd w:val="0"/>
        <w:snapToGrid w:val="0"/>
        <w:spacing w:before="156" w:beforeLines="50" w:after="156" w:afterLines="50" w:line="440" w:lineRule="exact"/>
        <w:ind w:firstLine="480" w:firstLineChars="200"/>
        <w:rPr>
          <w:color w:val="0000FF"/>
          <w:sz w:val="24"/>
        </w:rPr>
      </w:pPr>
      <w:bookmarkStart w:id="9" w:name="_Toc287602868"/>
      <w:bookmarkStart w:id="10" w:name="_Toc5985"/>
      <w:r>
        <w:rPr>
          <w:rFonts w:hint="eastAsia" w:cs="宋体"/>
          <w:sz w:val="24"/>
        </w:rPr>
        <w:t>评价公司温室气体排放现有水平，明确温室气体管理方针的方向，确定适合温室气体管理指标和技术指标，发现存在的问题和漏洞，为温室气体管理提供真实可靠的温室气体排放状况，挖掘减排潜力并提出切实可行的减排措施或建议，推进公司节能降碳目标的顺利实现，提升公司温室气体管理的水平。</w:t>
      </w:r>
    </w:p>
    <w:p w14:paraId="45FF7D6A">
      <w:pPr>
        <w:snapToGrid w:val="0"/>
        <w:spacing w:before="156" w:beforeLines="50" w:after="156" w:afterLines="50" w:line="440" w:lineRule="exact"/>
        <w:outlineLvl w:val="1"/>
        <w:rPr>
          <w:rFonts w:cs="宋体"/>
          <w:b/>
          <w:bCs/>
          <w:sz w:val="24"/>
        </w:rPr>
      </w:pPr>
      <w:bookmarkStart w:id="11" w:name="_Toc522192380"/>
      <w:bookmarkStart w:id="12" w:name="_Toc31039"/>
      <w:r>
        <w:rPr>
          <w:b/>
          <w:bCs/>
          <w:sz w:val="24"/>
        </w:rPr>
        <w:t xml:space="preserve">1.2 </w:t>
      </w:r>
      <w:r>
        <w:rPr>
          <w:rFonts w:hint="eastAsia" w:cs="宋体"/>
          <w:b/>
          <w:bCs/>
          <w:sz w:val="24"/>
        </w:rPr>
        <w:t>评审依据</w:t>
      </w:r>
      <w:bookmarkEnd w:id="9"/>
      <w:bookmarkEnd w:id="10"/>
      <w:bookmarkEnd w:id="11"/>
      <w:bookmarkEnd w:id="12"/>
    </w:p>
    <w:p w14:paraId="56F07006">
      <w:pPr>
        <w:pStyle w:val="2"/>
        <w:ind w:left="0" w:leftChars="0" w:firstLine="0" w:firstLineChars="0"/>
        <w:rPr>
          <w:rFonts w:cs="宋体"/>
          <w:b/>
          <w:bCs/>
          <w:sz w:val="24"/>
        </w:rPr>
      </w:pPr>
      <w:r>
        <w:rPr>
          <w:rFonts w:hint="eastAsia" w:cs="宋体"/>
          <w:b/>
          <w:bCs/>
          <w:sz w:val="24"/>
        </w:rPr>
        <w:t>ISO14064-1:2018</w:t>
      </w:r>
    </w:p>
    <w:p w14:paraId="72718811">
      <w:pPr>
        <w:pStyle w:val="2"/>
        <w:ind w:left="0" w:leftChars="0" w:firstLine="0" w:firstLineChars="0"/>
        <w:rPr>
          <w:rFonts w:cs="宋体"/>
          <w:b/>
          <w:bCs/>
          <w:sz w:val="24"/>
        </w:rPr>
      </w:pPr>
      <w:r>
        <w:rPr>
          <w:rFonts w:hint="eastAsia" w:cs="宋体"/>
          <w:b/>
          <w:bCs/>
          <w:sz w:val="24"/>
        </w:rPr>
        <w:t>GHG信息管理文件</w:t>
      </w:r>
    </w:p>
    <w:p w14:paraId="7D4C8F73">
      <w:pPr>
        <w:pStyle w:val="2"/>
        <w:ind w:left="0" w:leftChars="0" w:firstLine="0" w:firstLineChars="0"/>
        <w:rPr>
          <w:rFonts w:cs="宋体"/>
          <w:b/>
          <w:bCs/>
          <w:sz w:val="24"/>
        </w:rPr>
      </w:pPr>
      <w:r>
        <w:rPr>
          <w:rFonts w:hint="eastAsia" w:cs="宋体"/>
          <w:b/>
          <w:bCs/>
          <w:sz w:val="24"/>
        </w:rPr>
        <w:t>适用法律法规要求</w:t>
      </w:r>
    </w:p>
    <w:p w14:paraId="6FC27445">
      <w:pPr>
        <w:snapToGrid w:val="0"/>
        <w:spacing w:before="156" w:beforeLines="50" w:after="156" w:afterLines="50" w:line="440" w:lineRule="exact"/>
        <w:outlineLvl w:val="1"/>
        <w:rPr>
          <w:b/>
          <w:bCs/>
          <w:sz w:val="24"/>
        </w:rPr>
      </w:pPr>
      <w:bookmarkStart w:id="13" w:name="_Toc287602870"/>
      <w:bookmarkStart w:id="14" w:name="_Toc565"/>
      <w:bookmarkStart w:id="15" w:name="_Toc522192381"/>
      <w:bookmarkStart w:id="16" w:name="_Toc11469"/>
      <w:r>
        <w:rPr>
          <w:b/>
          <w:bCs/>
          <w:sz w:val="24"/>
        </w:rPr>
        <w:t>1.3</w:t>
      </w:r>
      <w:r>
        <w:rPr>
          <w:rFonts w:hint="eastAsia" w:cs="宋体"/>
          <w:b/>
          <w:bCs/>
          <w:sz w:val="24"/>
        </w:rPr>
        <w:t>评审范围</w:t>
      </w:r>
      <w:bookmarkEnd w:id="13"/>
      <w:r>
        <w:rPr>
          <w:rFonts w:hint="eastAsia" w:cs="宋体"/>
          <w:b/>
          <w:bCs/>
          <w:sz w:val="24"/>
        </w:rPr>
        <w:t>及内容</w:t>
      </w:r>
      <w:bookmarkEnd w:id="14"/>
      <w:bookmarkEnd w:id="15"/>
      <w:bookmarkEnd w:id="16"/>
    </w:p>
    <w:p w14:paraId="76A066DC">
      <w:pPr>
        <w:widowControl/>
        <w:spacing w:line="360" w:lineRule="auto"/>
        <w:ind w:firstLine="480" w:firstLineChars="200"/>
        <w:jc w:val="left"/>
        <w:rPr>
          <w:rFonts w:cs="宋体"/>
          <w:sz w:val="24"/>
        </w:rPr>
      </w:pPr>
      <w:r>
        <w:rPr>
          <w:rFonts w:hint="eastAsia" w:cs="宋体"/>
          <w:sz w:val="24"/>
        </w:rPr>
        <w:t>本次温室气体评审的边界为：</w:t>
      </w:r>
      <w:r>
        <w:rPr>
          <w:rFonts w:hint="eastAsia" w:hAnsi="宋体" w:cs="Lucida Sans Unicode"/>
          <w:bCs/>
          <w:sz w:val="24"/>
        </w:rPr>
        <w:t>江苏省常州市新北区东港二路33号</w:t>
      </w:r>
      <w:r>
        <w:rPr>
          <w:rFonts w:hint="eastAsia" w:hAnsi="宋体" w:cs="Lucida Sans Unicode"/>
          <w:bCs/>
          <w:sz w:val="24"/>
          <w:lang w:eastAsia="zh-CN"/>
        </w:rPr>
        <w:t>常州理工科技股份有限公司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，</w:t>
      </w: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 w:bidi="ar"/>
        </w:rPr>
        <w:t>铝合金轮毂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生产所涉及的温室气体排放</w:t>
      </w:r>
      <w:r>
        <w:rPr>
          <w:rFonts w:hint="eastAsia" w:cs="宋体"/>
          <w:sz w:val="24"/>
        </w:rPr>
        <w:t>。</w:t>
      </w:r>
    </w:p>
    <w:p w14:paraId="4E19FAE5">
      <w:pPr>
        <w:widowControl/>
        <w:spacing w:line="360" w:lineRule="auto"/>
        <w:ind w:firstLine="480" w:firstLineChars="200"/>
        <w:jc w:val="left"/>
        <w:rPr>
          <w:rFonts w:cs="宋体"/>
          <w:sz w:val="24"/>
        </w:rPr>
      </w:pPr>
      <w:r>
        <w:rPr>
          <w:rFonts w:hint="eastAsia" w:cs="宋体"/>
          <w:sz w:val="24"/>
        </w:rPr>
        <w:t>评审内容主要包括：温室气体管理情况、温室气体排放情况及具体的温室气体计量及统计、温室气体减排技改项目适宜性等。</w:t>
      </w:r>
    </w:p>
    <w:p w14:paraId="7370B703">
      <w:pPr>
        <w:pStyle w:val="2"/>
        <w:spacing w:line="360" w:lineRule="auto"/>
        <w:ind w:left="0" w:leftChars="0" w:firstLine="420" w:firstLineChars="200"/>
        <w:rPr>
          <w:rFonts w:hint="eastAsia"/>
        </w:rPr>
      </w:pPr>
      <w:r>
        <w:rPr>
          <w:rFonts w:hint="eastAsia"/>
        </w:rPr>
        <w:t>GHG源：</w:t>
      </w:r>
      <w:r>
        <w:rPr>
          <w:rFonts w:hint="eastAsia"/>
          <w:lang w:val="en-US" w:eastAsia="zh-CN"/>
        </w:rPr>
        <w:t>天然气、柴油、汽油、采购电力</w:t>
      </w:r>
      <w:r>
        <w:rPr>
          <w:rFonts w:hint="eastAsia"/>
        </w:rPr>
        <w:t>。</w:t>
      </w:r>
    </w:p>
    <w:p w14:paraId="15F940DE">
      <w:pPr>
        <w:pStyle w:val="2"/>
        <w:spacing w:line="360" w:lineRule="auto"/>
        <w:ind w:left="0" w:leftChars="0" w:firstLine="420" w:firstLineChars="200"/>
      </w:pPr>
      <w:r>
        <w:rPr>
          <w:rFonts w:hint="eastAsia"/>
        </w:rPr>
        <w:t>GHG类型：CO2、CH4、NO2、SF6、HFCs 、PFCs、NF3</w:t>
      </w:r>
    </w:p>
    <w:p w14:paraId="5342A2BA">
      <w:pPr>
        <w:snapToGrid w:val="0"/>
        <w:spacing w:before="156" w:beforeLines="50" w:after="156" w:afterLines="50" w:line="440" w:lineRule="exact"/>
        <w:outlineLvl w:val="1"/>
        <w:rPr>
          <w:rFonts w:cs="宋体"/>
          <w:b/>
          <w:bCs/>
          <w:sz w:val="24"/>
        </w:rPr>
      </w:pPr>
      <w:bookmarkStart w:id="17" w:name="_Toc4734"/>
      <w:bookmarkStart w:id="18" w:name="_Toc522192382"/>
      <w:r>
        <w:rPr>
          <w:b/>
          <w:bCs/>
          <w:sz w:val="24"/>
        </w:rPr>
        <w:t>1.4</w:t>
      </w:r>
      <w:r>
        <w:rPr>
          <w:rFonts w:hint="eastAsia" w:cs="宋体"/>
          <w:b/>
          <w:bCs/>
          <w:sz w:val="24"/>
        </w:rPr>
        <w:t>温室气体评审时间段</w:t>
      </w:r>
      <w:bookmarkEnd w:id="17"/>
      <w:bookmarkEnd w:id="18"/>
    </w:p>
    <w:p w14:paraId="30660426">
      <w:pPr>
        <w:pStyle w:val="2"/>
        <w:ind w:left="0" w:leftChars="0" w:firstLine="0" w:firstLineChars="0"/>
      </w:pPr>
      <w:r>
        <w:rPr>
          <w:rFonts w:hint="eastAsia" w:cs="宋体"/>
          <w:b/>
          <w:bCs/>
          <w:sz w:val="24"/>
        </w:rPr>
        <w:t>202</w:t>
      </w:r>
      <w:r>
        <w:rPr>
          <w:rFonts w:hint="eastAsia" w:cs="宋体"/>
          <w:b/>
          <w:bCs/>
          <w:sz w:val="24"/>
          <w:lang w:val="en-US" w:eastAsia="zh-CN"/>
        </w:rPr>
        <w:t>4</w:t>
      </w:r>
      <w:r>
        <w:rPr>
          <w:rFonts w:hint="eastAsia" w:cs="宋体"/>
          <w:b/>
          <w:bCs/>
          <w:sz w:val="24"/>
        </w:rPr>
        <w:t>.01.01-202</w:t>
      </w:r>
      <w:r>
        <w:rPr>
          <w:rFonts w:hint="eastAsia" w:cs="宋体"/>
          <w:b/>
          <w:bCs/>
          <w:sz w:val="24"/>
          <w:lang w:val="en-US" w:eastAsia="zh-CN"/>
        </w:rPr>
        <w:t>4</w:t>
      </w:r>
      <w:r>
        <w:rPr>
          <w:rFonts w:hint="eastAsia" w:cs="宋体"/>
          <w:b/>
          <w:bCs/>
          <w:sz w:val="24"/>
        </w:rPr>
        <w:t>.12.31</w:t>
      </w:r>
    </w:p>
    <w:p w14:paraId="0EFFBB76">
      <w:pPr>
        <w:snapToGrid w:val="0"/>
        <w:spacing w:before="156" w:beforeLines="50" w:after="156" w:afterLines="50" w:line="440" w:lineRule="exact"/>
        <w:outlineLvl w:val="1"/>
        <w:rPr>
          <w:b/>
          <w:bCs/>
          <w:sz w:val="24"/>
        </w:rPr>
      </w:pPr>
      <w:bookmarkStart w:id="19" w:name="_Toc32470"/>
      <w:bookmarkStart w:id="20" w:name="_Toc522192383"/>
      <w:r>
        <w:rPr>
          <w:b/>
          <w:bCs/>
          <w:sz w:val="24"/>
        </w:rPr>
        <w:t>1.5</w:t>
      </w:r>
      <w:r>
        <w:rPr>
          <w:rFonts w:hint="eastAsia" w:cs="宋体"/>
          <w:b/>
          <w:bCs/>
          <w:sz w:val="24"/>
        </w:rPr>
        <w:t>评审组成员和评审日期</w:t>
      </w:r>
      <w:bookmarkEnd w:id="19"/>
      <w:bookmarkEnd w:id="20"/>
    </w:p>
    <w:p w14:paraId="62C8B08F">
      <w:pPr>
        <w:snapToGrid w:val="0"/>
        <w:spacing w:before="156" w:beforeLines="50" w:after="156" w:afterLines="50" w:line="440" w:lineRule="exact"/>
        <w:ind w:firstLine="480" w:firstLineChars="200"/>
        <w:outlineLvl w:val="1"/>
        <w:rPr>
          <w:rFonts w:eastAsia="宋体"/>
          <w:b/>
          <w:bCs/>
          <w:sz w:val="24"/>
        </w:rPr>
      </w:pPr>
      <w:bookmarkStart w:id="21" w:name="_Hlk77342541"/>
      <w:r>
        <w:rPr>
          <w:rFonts w:hint="eastAsia" w:cs="宋体"/>
          <w:sz w:val="24"/>
        </w:rPr>
        <w:t>评审组：徐建峰</w:t>
      </w:r>
      <w:r>
        <w:rPr>
          <w:rFonts w:hint="eastAsia"/>
          <w:b/>
          <w:bCs/>
          <w:sz w:val="24"/>
        </w:rPr>
        <w:t xml:space="preserve"> </w:t>
      </w:r>
      <w:r>
        <w:rPr>
          <w:b/>
          <w:bCs/>
          <w:sz w:val="24"/>
        </w:rPr>
        <w:t xml:space="preserve">  </w:t>
      </w:r>
      <w:r>
        <w:rPr>
          <w:rFonts w:hint="eastAsia" w:cs="宋体"/>
          <w:sz w:val="24"/>
        </w:rPr>
        <w:t>组员：庞玉梅、陆超、邵广永、束国锋、曹林、蒋晋、池洪强、许雪刚、 徐建峰</w:t>
      </w:r>
    </w:p>
    <w:p w14:paraId="00B820C4">
      <w:pPr>
        <w:adjustRightInd w:val="0"/>
        <w:snapToGrid w:val="0"/>
        <w:spacing w:before="156" w:beforeLines="50" w:after="156" w:afterLines="50" w:line="360" w:lineRule="auto"/>
        <w:ind w:firstLine="480" w:firstLineChars="200"/>
        <w:rPr>
          <w:sz w:val="24"/>
        </w:rPr>
      </w:pPr>
      <w:r>
        <w:rPr>
          <w:rFonts w:hint="eastAsia" w:cs="宋体"/>
          <w:sz w:val="24"/>
        </w:rPr>
        <w:t>评审实施时间：</w:t>
      </w:r>
      <w:r>
        <w:rPr>
          <w:sz w:val="24"/>
        </w:rPr>
        <w:t>202</w:t>
      </w:r>
      <w:r>
        <w:rPr>
          <w:rFonts w:hint="eastAsia"/>
          <w:sz w:val="24"/>
          <w:lang w:val="en-US" w:eastAsia="zh-CN"/>
        </w:rPr>
        <w:t>5</w:t>
      </w:r>
      <w:r>
        <w:rPr>
          <w:sz w:val="24"/>
        </w:rPr>
        <w:t>年</w:t>
      </w:r>
      <w:r>
        <w:rPr>
          <w:rFonts w:hint="eastAsia"/>
          <w:sz w:val="24"/>
          <w:lang w:val="en-US" w:eastAsia="zh-CN"/>
        </w:rPr>
        <w:t>3</w:t>
      </w:r>
      <w:r>
        <w:rPr>
          <w:rFonts w:hint="eastAsia" w:cs="宋体"/>
          <w:sz w:val="24"/>
        </w:rPr>
        <w:t>月</w:t>
      </w:r>
      <w:r>
        <w:rPr>
          <w:rFonts w:hint="eastAsia"/>
          <w:sz w:val="24"/>
        </w:rPr>
        <w:t>1</w:t>
      </w:r>
      <w:r>
        <w:rPr>
          <w:rFonts w:hint="eastAsia" w:cs="宋体"/>
          <w:sz w:val="24"/>
        </w:rPr>
        <w:t>日到</w:t>
      </w:r>
      <w:r>
        <w:rPr>
          <w:sz w:val="24"/>
        </w:rPr>
        <w:t>202</w:t>
      </w:r>
      <w:r>
        <w:rPr>
          <w:rFonts w:hint="eastAsia"/>
          <w:sz w:val="24"/>
          <w:lang w:val="en-US" w:eastAsia="zh-CN"/>
        </w:rPr>
        <w:t>5</w:t>
      </w:r>
      <w:r>
        <w:rPr>
          <w:sz w:val="24"/>
        </w:rPr>
        <w:t>年</w:t>
      </w:r>
      <w:r>
        <w:rPr>
          <w:rFonts w:hint="eastAsia"/>
          <w:sz w:val="24"/>
          <w:lang w:val="en-US" w:eastAsia="zh-CN"/>
        </w:rPr>
        <w:t>3</w:t>
      </w:r>
      <w:r>
        <w:rPr>
          <w:rFonts w:hint="eastAsia" w:cs="宋体"/>
          <w:sz w:val="24"/>
        </w:rPr>
        <w:t>月</w:t>
      </w:r>
      <w:r>
        <w:rPr>
          <w:rFonts w:hint="eastAsia"/>
          <w:sz w:val="24"/>
          <w:lang w:val="en-US" w:eastAsia="zh-CN"/>
        </w:rPr>
        <w:t>5</w:t>
      </w:r>
      <w:r>
        <w:rPr>
          <w:rFonts w:hint="eastAsia" w:cs="宋体"/>
          <w:sz w:val="24"/>
        </w:rPr>
        <w:t>日</w:t>
      </w:r>
    </w:p>
    <w:bookmarkEnd w:id="21"/>
    <w:p w14:paraId="4D34F9DF">
      <w:pPr>
        <w:snapToGrid w:val="0"/>
        <w:spacing w:before="156" w:beforeLines="50" w:after="156" w:afterLines="50" w:line="360" w:lineRule="auto"/>
        <w:outlineLvl w:val="0"/>
        <w:rPr>
          <w:rFonts w:ascii="楷体_GB2312" w:eastAsia="楷体_GB2312"/>
          <w:b/>
          <w:bCs/>
          <w:sz w:val="24"/>
        </w:rPr>
        <w:sectPr>
          <w:pgSz w:w="11906" w:h="16838"/>
          <w:pgMar w:top="1134" w:right="1134" w:bottom="1134" w:left="1134" w:header="851" w:footer="992" w:gutter="0"/>
          <w:cols w:space="720" w:num="1"/>
          <w:docGrid w:type="linesAndChars" w:linePitch="312" w:charSpace="0"/>
        </w:sectPr>
      </w:pPr>
    </w:p>
    <w:p w14:paraId="57BCE926">
      <w:pPr>
        <w:snapToGrid w:val="0"/>
        <w:spacing w:before="156" w:beforeLines="50" w:after="156" w:afterLines="50" w:line="360" w:lineRule="auto"/>
        <w:jc w:val="center"/>
        <w:outlineLvl w:val="0"/>
        <w:rPr>
          <w:rFonts w:ascii="宋体" w:hAnsi="宋体" w:cs="宋体"/>
          <w:b/>
          <w:bCs/>
          <w:sz w:val="24"/>
        </w:rPr>
      </w:pPr>
      <w:bookmarkStart w:id="22" w:name="_Toc522192384"/>
      <w:bookmarkStart w:id="23" w:name="_Toc16867"/>
      <w:r>
        <w:rPr>
          <w:rFonts w:hint="eastAsia" w:ascii="宋体" w:hAnsi="宋体" w:cs="宋体"/>
          <w:b/>
          <w:bCs/>
          <w:sz w:val="24"/>
        </w:rPr>
        <w:t>第二章  企业基本情况</w:t>
      </w:r>
      <w:bookmarkEnd w:id="22"/>
      <w:bookmarkEnd w:id="23"/>
      <w:bookmarkStart w:id="24" w:name="_Toc370"/>
      <w:bookmarkStart w:id="25" w:name="_Toc522192385"/>
    </w:p>
    <w:p w14:paraId="525187C4">
      <w:pPr>
        <w:pStyle w:val="2"/>
        <w:spacing w:line="360" w:lineRule="auto"/>
        <w:ind w:left="0" w:leftChars="0" w:firstLine="480" w:firstLineChars="200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常州理工科技股份有限公司成立于2004年，位于新北区春江镇东港二路33号，是一家集汽车铝合金轮毂、铝合金铸件产品研发、制造和销售为一体的高科技企业，具备年产铝合金轮毂及铝制品部件100万件/套的生产能力，铝合金轮毂95%远销国外市场，铝合金铸件产品公司的铝部件主要供于高速动车和新能源汽车，主要客户是中车、西门子、博世等世界500强知名企业。主营业务收入逐年递增，2024年铝合金轮毂产量296075件，产值25892万元，主营业务收入达到了25063万元。</w:t>
      </w:r>
    </w:p>
    <w:p w14:paraId="1C793A2C">
      <w:pPr>
        <w:pStyle w:val="2"/>
        <w:spacing w:line="360" w:lineRule="auto"/>
        <w:ind w:left="0" w:leftChars="0" w:firstLine="480" w:firstLineChars="200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公司立足高端铝铸件产品的研究与开发，加大各种资源和要素的投入，依托公司工程技术研究中心和校企合作的深化拓展，描准市场潜在需求，通过技术创新实现产品创新，已与稀土研究院（国家级）合作研发轻量化铝合金新材料，进入稀土新材料应用领域。公司拥有江苏省工程技术研究中心，省企业研究生工作站、市级汽车轮毂工程技术研究中心、市级汽车轮毂重点实验室，获得高新技术企业、江苏省民营科技企业、国家级专精特新小巨人企业、省级服务型制造示范企业等荣誉。与常州高级技师学院及江苏理工学院共建人才实习基地。</w:t>
      </w:r>
    </w:p>
    <w:p w14:paraId="573C5463">
      <w:pPr>
        <w:pStyle w:val="2"/>
        <w:spacing w:line="360" w:lineRule="auto"/>
        <w:ind w:left="0" w:leftChars="0" w:firstLine="480" w:firstLineChars="200"/>
        <w:rPr>
          <w:lang w:val="en-US" w:bidi="ar-SA"/>
        </w:rPr>
      </w:pPr>
      <w:r>
        <w:rPr>
          <w:rFonts w:hint="eastAsia"/>
          <w:sz w:val="24"/>
          <w:lang w:eastAsia="zh-CN"/>
        </w:rPr>
        <w:t>公司参与行标《镧铈铝合金》及国标《20230692-T-469 汽车车轮用铸造铝合金》制定，现拥有知识产权专利83项，发明专利5项，并通过了IS09001、IATF16949、ISO14001、ISO45001、ISO50001、GJB9001C和两化融合管理体系等管理体系认证，日本VIA实验室认证和德国TUV质量体系认证。</w:t>
      </w:r>
    </w:p>
    <w:p w14:paraId="1D9B18D8">
      <w:pPr>
        <w:snapToGrid w:val="0"/>
        <w:spacing w:before="156" w:beforeLines="50" w:after="156" w:afterLines="50" w:line="360" w:lineRule="auto"/>
        <w:jc w:val="center"/>
        <w:outlineLvl w:val="0"/>
        <w:rPr>
          <w:rFonts w:ascii="宋体" w:hAnsi="宋体"/>
          <w:sz w:val="24"/>
        </w:rPr>
      </w:pPr>
      <w:r>
        <w:rPr>
          <w:rFonts w:hint="eastAsia" w:cs="宋体"/>
          <w:b/>
          <w:bCs/>
          <w:sz w:val="24"/>
        </w:rPr>
        <w:t>第三章  企业温室气体排放分析</w:t>
      </w:r>
      <w:bookmarkEnd w:id="24"/>
      <w:bookmarkEnd w:id="25"/>
    </w:p>
    <w:p w14:paraId="6374EAE4">
      <w:pPr>
        <w:spacing w:before="156" w:beforeLines="50" w:after="156" w:afterLines="50"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1、温室气体排放说明</w:t>
      </w:r>
    </w:p>
    <w:p w14:paraId="269C19BB">
      <w:pPr>
        <w:pStyle w:val="2"/>
        <w:ind w:left="0" w:leftChars="0" w:firstLine="480" w:firstLineChars="200"/>
        <w:rPr>
          <w:sz w:val="24"/>
        </w:rPr>
      </w:pPr>
      <w:r>
        <w:rPr>
          <w:rFonts w:hint="eastAsia"/>
          <w:sz w:val="24"/>
        </w:rPr>
        <w:t>公司的温室气体来源为</w:t>
      </w:r>
      <w:r>
        <w:rPr>
          <w:rFonts w:hint="eastAsia"/>
          <w:sz w:val="24"/>
          <w:lang w:val="en-US" w:eastAsia="zh-CN"/>
        </w:rPr>
        <w:t>天然气、柴油、汽油、采购电力</w:t>
      </w:r>
      <w:r>
        <w:rPr>
          <w:rFonts w:hint="eastAsia"/>
          <w:sz w:val="24"/>
        </w:rPr>
        <w:t>。</w:t>
      </w:r>
    </w:p>
    <w:p w14:paraId="5487C022">
      <w:pPr>
        <w:pStyle w:val="2"/>
        <w:ind w:left="0" w:leftChars="0" w:firstLine="480" w:firstLineChars="200"/>
        <w:rPr>
          <w:sz w:val="24"/>
        </w:rPr>
      </w:pPr>
      <w:r>
        <w:rPr>
          <w:rFonts w:hint="eastAsia"/>
          <w:sz w:val="24"/>
        </w:rPr>
        <w:t>202</w:t>
      </w: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年度公司天然气用量：</w:t>
      </w:r>
      <w:r>
        <w:rPr>
          <w:rFonts w:hint="eastAsia"/>
          <w:sz w:val="24"/>
          <w:lang w:val="en-US" w:eastAsia="zh-CN"/>
        </w:rPr>
        <w:t>1614173</w:t>
      </w:r>
      <w:r>
        <w:rPr>
          <w:rFonts w:hint="eastAsia"/>
          <w:sz w:val="24"/>
        </w:rPr>
        <w:t>m³。燃烧产生CO</w:t>
      </w:r>
      <w:r>
        <w:rPr>
          <w:rFonts w:hint="eastAsia"/>
          <w:sz w:val="24"/>
          <w:vertAlign w:val="subscript"/>
        </w:rPr>
        <w:t>2</w:t>
      </w:r>
      <w:r>
        <w:rPr>
          <w:rFonts w:hint="eastAsia"/>
          <w:sz w:val="24"/>
        </w:rPr>
        <w:t xml:space="preserve">  </w:t>
      </w:r>
      <w:r>
        <w:rPr>
          <w:rFonts w:hint="default"/>
          <w:sz w:val="24"/>
          <w:lang w:val="en-US" w:eastAsia="zh-CN"/>
        </w:rPr>
        <w:t>3486.61</w:t>
      </w:r>
      <w:r>
        <w:rPr>
          <w:rFonts w:hint="eastAsia"/>
          <w:sz w:val="24"/>
        </w:rPr>
        <w:t>tC</w:t>
      </w:r>
      <w:r>
        <w:rPr>
          <w:sz w:val="24"/>
        </w:rPr>
        <w:t>O2e</w:t>
      </w:r>
      <w:r>
        <w:rPr>
          <w:rFonts w:hint="eastAsia"/>
          <w:sz w:val="24"/>
        </w:rPr>
        <w:t>。</w:t>
      </w:r>
    </w:p>
    <w:p w14:paraId="74A1A8BB">
      <w:pPr>
        <w:pStyle w:val="2"/>
        <w:ind w:left="0" w:leftChars="0" w:firstLine="480" w:firstLineChars="200"/>
        <w:rPr>
          <w:sz w:val="24"/>
        </w:rPr>
      </w:pPr>
      <w:r>
        <w:rPr>
          <w:rFonts w:hint="eastAsia"/>
          <w:sz w:val="24"/>
        </w:rPr>
        <w:t>柴油用量：4100L。燃烧产生CO</w:t>
      </w:r>
      <w:r>
        <w:rPr>
          <w:rFonts w:hint="eastAsia"/>
          <w:sz w:val="24"/>
          <w:vertAlign w:val="subscript"/>
        </w:rPr>
        <w:t>2</w:t>
      </w:r>
      <w:r>
        <w:rPr>
          <w:rFonts w:hint="eastAsia"/>
          <w:sz w:val="24"/>
        </w:rPr>
        <w:t xml:space="preserve">  </w:t>
      </w:r>
      <w:r>
        <w:rPr>
          <w:rFonts w:hint="default"/>
          <w:sz w:val="24"/>
          <w:lang w:val="en-US" w:eastAsia="zh-CN"/>
        </w:rPr>
        <w:t>10.99</w:t>
      </w:r>
      <w:r>
        <w:rPr>
          <w:rFonts w:hint="eastAsia"/>
          <w:sz w:val="24"/>
        </w:rPr>
        <w:t>tCO2e</w:t>
      </w:r>
    </w:p>
    <w:p w14:paraId="2ADC22AD">
      <w:pPr>
        <w:pStyle w:val="2"/>
        <w:ind w:left="0" w:leftChars="0"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汽油：5000L。燃烧产生CO</w:t>
      </w:r>
      <w:r>
        <w:rPr>
          <w:rFonts w:hint="eastAsia"/>
          <w:sz w:val="24"/>
          <w:vertAlign w:val="subscript"/>
        </w:rPr>
        <w:t>2</w:t>
      </w:r>
      <w:r>
        <w:rPr>
          <w:rFonts w:hint="eastAsia"/>
          <w:sz w:val="24"/>
        </w:rPr>
        <w:t xml:space="preserve">  </w:t>
      </w:r>
      <w:r>
        <w:rPr>
          <w:rFonts w:hint="default"/>
          <w:sz w:val="24"/>
          <w:lang w:val="en-US" w:eastAsia="zh-CN"/>
        </w:rPr>
        <w:t>11.55</w:t>
      </w:r>
      <w:r>
        <w:rPr>
          <w:rFonts w:hint="eastAsia"/>
          <w:sz w:val="24"/>
        </w:rPr>
        <w:t>tCO2e</w:t>
      </w:r>
    </w:p>
    <w:p w14:paraId="1A4C8CAD">
      <w:pPr>
        <w:pStyle w:val="2"/>
        <w:ind w:left="0" w:leftChars="0" w:firstLine="480" w:firstLineChars="200"/>
        <w:rPr>
          <w:rFonts w:hint="default"/>
          <w:sz w:val="24"/>
          <w:lang w:val="en-US" w:eastAsia="zh-CN"/>
        </w:rPr>
      </w:pPr>
      <w:r>
        <w:rPr>
          <w:rFonts w:hint="eastAsia"/>
          <w:sz w:val="24"/>
        </w:rPr>
        <w:t>采购电力：</w:t>
      </w:r>
      <w:r>
        <w:rPr>
          <w:rFonts w:hint="eastAsia"/>
          <w:sz w:val="24"/>
          <w:lang w:val="en-US" w:eastAsia="zh-CN"/>
        </w:rPr>
        <w:t>5677801k</w:t>
      </w:r>
      <w:r>
        <w:rPr>
          <w:rFonts w:hint="eastAsia"/>
          <w:sz w:val="24"/>
        </w:rPr>
        <w:t>Wh。折合CO</w:t>
      </w:r>
      <w:r>
        <w:rPr>
          <w:rFonts w:hint="eastAsia"/>
          <w:sz w:val="24"/>
          <w:vertAlign w:val="subscript"/>
        </w:rPr>
        <w:t xml:space="preserve">2 </w:t>
      </w:r>
      <w:r>
        <w:rPr>
          <w:rFonts w:hint="eastAsia"/>
          <w:sz w:val="24"/>
        </w:rPr>
        <w:t xml:space="preserve"> </w:t>
      </w:r>
      <w:r>
        <w:rPr>
          <w:rFonts w:hint="default"/>
          <w:sz w:val="24"/>
          <w:lang w:val="en-US" w:eastAsia="zh-CN"/>
        </w:rPr>
        <w:t>5,657.23 tCO2e</w:t>
      </w:r>
    </w:p>
    <w:p w14:paraId="411B4E67">
      <w:pPr>
        <w:pStyle w:val="2"/>
        <w:ind w:left="0" w:leftChars="0" w:firstLine="480" w:firstLineChars="200"/>
        <w:rPr>
          <w:sz w:val="24"/>
        </w:rPr>
      </w:pPr>
      <w:r>
        <w:rPr>
          <w:rFonts w:hint="eastAsia"/>
          <w:sz w:val="24"/>
        </w:rPr>
        <w:t>上、下游货物运输吨数*距离：104211308t*km。折合CO</w:t>
      </w:r>
      <w:r>
        <w:rPr>
          <w:rFonts w:hint="eastAsia"/>
          <w:sz w:val="24"/>
          <w:vertAlign w:val="subscript"/>
        </w:rPr>
        <w:t xml:space="preserve">2  </w:t>
      </w:r>
      <w:r>
        <w:rPr>
          <w:rFonts w:hint="eastAsia"/>
          <w:sz w:val="24"/>
          <w:lang w:val="en-US" w:eastAsia="zh-CN"/>
        </w:rPr>
        <w:t>1062.96</w:t>
      </w:r>
      <w:r>
        <w:rPr>
          <w:rFonts w:hint="eastAsia"/>
          <w:sz w:val="24"/>
        </w:rPr>
        <w:t xml:space="preserve"> t</w:t>
      </w:r>
      <w:r>
        <w:rPr>
          <w:sz w:val="24"/>
        </w:rPr>
        <w:t>CO2e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6"/>
        <w:gridCol w:w="2906"/>
        <w:gridCol w:w="2906"/>
      </w:tblGrid>
      <w:tr w14:paraId="7EB1A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2906" w:type="dxa"/>
            <w:vAlign w:val="bottom"/>
          </w:tcPr>
          <w:p w14:paraId="0B565B76">
            <w:pPr>
              <w:pStyle w:val="2"/>
              <w:spacing w:after="0"/>
              <w:ind w:left="0" w:leftChars="0"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</w:tc>
        <w:tc>
          <w:tcPr>
            <w:tcW w:w="2906" w:type="dxa"/>
            <w:vAlign w:val="bottom"/>
          </w:tcPr>
          <w:p w14:paraId="515D95A2">
            <w:pPr>
              <w:pStyle w:val="2"/>
              <w:spacing w:after="0"/>
              <w:ind w:left="0" w:leftChars="0"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用量</w:t>
            </w:r>
          </w:p>
        </w:tc>
        <w:tc>
          <w:tcPr>
            <w:tcW w:w="2906" w:type="dxa"/>
            <w:vAlign w:val="bottom"/>
          </w:tcPr>
          <w:p w14:paraId="153C4D26">
            <w:pPr>
              <w:pStyle w:val="2"/>
              <w:spacing w:after="0"/>
              <w:ind w:left="0" w:leftChars="0"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tCO2e</w:t>
            </w:r>
          </w:p>
        </w:tc>
      </w:tr>
      <w:tr w14:paraId="7EE99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2906" w:type="dxa"/>
            <w:vAlign w:val="center"/>
          </w:tcPr>
          <w:p w14:paraId="001A7CBE">
            <w:pPr>
              <w:pStyle w:val="2"/>
              <w:spacing w:after="0"/>
              <w:ind w:left="0" w:leftChars="0" w:firstLine="0" w:firstLineChars="0"/>
              <w:jc w:val="center"/>
              <w:rPr>
                <w:rFonts w:hint="eastAsia"/>
                <w:sz w:val="24"/>
                <w:lang w:val="en-US" w:eastAsia="zh-CN"/>
              </w:rPr>
            </w:pPr>
            <w:bookmarkStart w:id="33" w:name="_GoBack" w:colFirst="0" w:colLast="2"/>
            <w:r>
              <w:rPr>
                <w:rFonts w:hint="eastAsia"/>
                <w:sz w:val="24"/>
                <w:lang w:val="en-US" w:eastAsia="zh-CN"/>
              </w:rPr>
              <w:t>天然气</w:t>
            </w:r>
          </w:p>
        </w:tc>
        <w:tc>
          <w:tcPr>
            <w:tcW w:w="2906" w:type="dxa"/>
            <w:vAlign w:val="center"/>
          </w:tcPr>
          <w:p w14:paraId="21D72254">
            <w:pPr>
              <w:pStyle w:val="2"/>
              <w:spacing w:after="0"/>
              <w:ind w:left="0" w:leftChars="0" w:firstLine="0" w:firstLineChars="0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1614173m³</w:t>
            </w:r>
          </w:p>
        </w:tc>
        <w:tc>
          <w:tcPr>
            <w:tcW w:w="2906" w:type="dxa"/>
            <w:vAlign w:val="center"/>
          </w:tcPr>
          <w:p w14:paraId="4793BEDD">
            <w:pPr>
              <w:pStyle w:val="2"/>
              <w:spacing w:after="0"/>
              <w:ind w:left="0" w:leftChars="0" w:firstLine="0" w:firstLineChars="0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default"/>
                <w:sz w:val="24"/>
                <w:lang w:val="en-US" w:eastAsia="zh-CN"/>
              </w:rPr>
              <w:t>3486.61</w:t>
            </w:r>
          </w:p>
        </w:tc>
      </w:tr>
      <w:tr w14:paraId="6D7EC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2906" w:type="dxa"/>
            <w:vAlign w:val="center"/>
          </w:tcPr>
          <w:p w14:paraId="07146B3C">
            <w:pPr>
              <w:pStyle w:val="2"/>
              <w:spacing w:after="0"/>
              <w:ind w:left="0" w:leftChars="0" w:firstLine="0" w:firstLineChars="0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柴油</w:t>
            </w:r>
          </w:p>
        </w:tc>
        <w:tc>
          <w:tcPr>
            <w:tcW w:w="2906" w:type="dxa"/>
            <w:vAlign w:val="center"/>
          </w:tcPr>
          <w:p w14:paraId="7DBB71E3">
            <w:pPr>
              <w:pStyle w:val="2"/>
              <w:spacing w:after="0"/>
              <w:ind w:left="0" w:leftChars="0" w:firstLine="0" w:firstLineChars="0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4100L</w:t>
            </w:r>
          </w:p>
        </w:tc>
        <w:tc>
          <w:tcPr>
            <w:tcW w:w="2906" w:type="dxa"/>
            <w:vAlign w:val="center"/>
          </w:tcPr>
          <w:p w14:paraId="0AD9A4F2">
            <w:pPr>
              <w:pStyle w:val="2"/>
              <w:spacing w:after="0"/>
              <w:ind w:left="0" w:leftChars="0" w:firstLine="0" w:firstLineChars="0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default"/>
                <w:sz w:val="24"/>
                <w:lang w:val="en-US" w:eastAsia="zh-CN"/>
              </w:rPr>
              <w:t>10.99</w:t>
            </w:r>
          </w:p>
        </w:tc>
      </w:tr>
      <w:tr w14:paraId="1346F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2906" w:type="dxa"/>
            <w:vAlign w:val="center"/>
          </w:tcPr>
          <w:p w14:paraId="5850E717">
            <w:pPr>
              <w:pStyle w:val="2"/>
              <w:spacing w:after="0"/>
              <w:ind w:left="0" w:leftChars="0" w:firstLine="0" w:firstLineChars="0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汽油</w:t>
            </w:r>
          </w:p>
        </w:tc>
        <w:tc>
          <w:tcPr>
            <w:tcW w:w="2906" w:type="dxa"/>
            <w:vAlign w:val="center"/>
          </w:tcPr>
          <w:p w14:paraId="1545BC0B">
            <w:pPr>
              <w:pStyle w:val="2"/>
              <w:spacing w:after="0"/>
              <w:ind w:left="0" w:leftChars="0" w:firstLine="0" w:firstLineChars="0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5000L</w:t>
            </w:r>
          </w:p>
        </w:tc>
        <w:tc>
          <w:tcPr>
            <w:tcW w:w="2906" w:type="dxa"/>
            <w:vAlign w:val="center"/>
          </w:tcPr>
          <w:p w14:paraId="161B3F67">
            <w:pPr>
              <w:pStyle w:val="2"/>
              <w:spacing w:after="0"/>
              <w:ind w:left="0" w:leftChars="0" w:firstLine="0" w:firstLineChars="0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default"/>
                <w:sz w:val="24"/>
                <w:lang w:val="en-US" w:eastAsia="zh-CN"/>
              </w:rPr>
              <w:t>11.55</w:t>
            </w:r>
          </w:p>
        </w:tc>
      </w:tr>
      <w:tr w14:paraId="1B776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2906" w:type="dxa"/>
            <w:vAlign w:val="center"/>
          </w:tcPr>
          <w:p w14:paraId="5665216D">
            <w:pPr>
              <w:pStyle w:val="2"/>
              <w:spacing w:after="0"/>
              <w:ind w:left="0" w:leftChars="0" w:firstLine="0" w:firstLineChars="0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采购电力</w:t>
            </w:r>
          </w:p>
        </w:tc>
        <w:tc>
          <w:tcPr>
            <w:tcW w:w="2906" w:type="dxa"/>
            <w:vAlign w:val="center"/>
          </w:tcPr>
          <w:p w14:paraId="7DCCF3FE">
            <w:pPr>
              <w:pStyle w:val="2"/>
              <w:spacing w:after="0"/>
              <w:ind w:left="0" w:leftChars="0" w:firstLine="0" w:firstLineChars="0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9688727.4kWh</w:t>
            </w:r>
          </w:p>
        </w:tc>
        <w:tc>
          <w:tcPr>
            <w:tcW w:w="2906" w:type="dxa"/>
            <w:vAlign w:val="center"/>
          </w:tcPr>
          <w:p w14:paraId="5225DFDF">
            <w:pPr>
              <w:pStyle w:val="2"/>
              <w:spacing w:after="0"/>
              <w:ind w:left="0" w:leftChars="0" w:firstLine="0" w:firstLineChars="0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default"/>
                <w:sz w:val="24"/>
                <w:lang w:val="en-US" w:eastAsia="zh-CN"/>
              </w:rPr>
              <w:t>5657.23</w:t>
            </w:r>
          </w:p>
        </w:tc>
      </w:tr>
      <w:tr w14:paraId="32198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2906" w:type="dxa"/>
            <w:vAlign w:val="center"/>
          </w:tcPr>
          <w:p w14:paraId="69192711">
            <w:pPr>
              <w:pStyle w:val="2"/>
              <w:spacing w:after="0"/>
              <w:ind w:left="0" w:leftChars="0" w:firstLine="0" w:firstLineChars="0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上、下游货物运输吨数*距离</w:t>
            </w:r>
          </w:p>
        </w:tc>
        <w:tc>
          <w:tcPr>
            <w:tcW w:w="2906" w:type="dxa"/>
            <w:vAlign w:val="center"/>
          </w:tcPr>
          <w:p w14:paraId="48BD549E">
            <w:pPr>
              <w:pStyle w:val="2"/>
              <w:spacing w:after="0"/>
              <w:ind w:left="0" w:leftChars="0" w:firstLine="0" w:firstLineChars="0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10421130t*km</w:t>
            </w:r>
          </w:p>
        </w:tc>
        <w:tc>
          <w:tcPr>
            <w:tcW w:w="2906" w:type="dxa"/>
            <w:vAlign w:val="center"/>
          </w:tcPr>
          <w:p w14:paraId="0C64037C">
            <w:pPr>
              <w:pStyle w:val="2"/>
              <w:spacing w:after="0"/>
              <w:ind w:left="0" w:leftChars="0" w:firstLine="0" w:firstLineChars="0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1062.96</w:t>
            </w:r>
          </w:p>
        </w:tc>
      </w:tr>
      <w:tr w14:paraId="6E35C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2906" w:type="dxa"/>
            <w:vAlign w:val="center"/>
          </w:tcPr>
          <w:p w14:paraId="7EA2622F">
            <w:pPr>
              <w:pStyle w:val="2"/>
              <w:spacing w:after="0"/>
              <w:ind w:left="0" w:leftChars="0" w:firstLine="0" w:firstLineChars="0"/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2906" w:type="dxa"/>
            <w:vAlign w:val="center"/>
          </w:tcPr>
          <w:p w14:paraId="04BB13B2">
            <w:pPr>
              <w:pStyle w:val="2"/>
              <w:spacing w:after="0"/>
              <w:ind w:left="0" w:leftChars="0" w:firstLine="0" w:firstLineChars="0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合计</w:t>
            </w:r>
          </w:p>
        </w:tc>
        <w:tc>
          <w:tcPr>
            <w:tcW w:w="2906" w:type="dxa"/>
            <w:vAlign w:val="center"/>
          </w:tcPr>
          <w:p w14:paraId="3E68DCCD">
            <w:pPr>
              <w:pStyle w:val="2"/>
              <w:spacing w:after="0"/>
              <w:ind w:left="0" w:leftChars="0" w:firstLine="0" w:firstLineChars="0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10229.34</w:t>
            </w:r>
          </w:p>
        </w:tc>
      </w:tr>
      <w:bookmarkEnd w:id="33"/>
    </w:tbl>
    <w:p w14:paraId="32C31C11">
      <w:bookmarkStart w:id="26" w:name="_Toc522192386"/>
      <w:bookmarkStart w:id="27" w:name="_Toc26441"/>
      <w:bookmarkStart w:id="28" w:name="_Toc287602876"/>
      <w:bookmarkStart w:id="29" w:name="_Toc28852"/>
      <w:bookmarkStart w:id="30" w:name="_Toc338692148"/>
      <w:bookmarkStart w:id="31" w:name="_Toc151311813"/>
    </w:p>
    <w:p w14:paraId="22E3ABE3">
      <w:pPr>
        <w:pStyle w:val="2"/>
        <w:ind w:left="0" w:leftChars="0" w:firstLine="0" w:firstLineChars="0"/>
      </w:pPr>
    </w:p>
    <w:bookmarkEnd w:id="26"/>
    <w:bookmarkEnd w:id="27"/>
    <w:bookmarkEnd w:id="28"/>
    <w:bookmarkEnd w:id="29"/>
    <w:bookmarkEnd w:id="30"/>
    <w:bookmarkEnd w:id="31"/>
    <w:p w14:paraId="387CAFA9">
      <w:pPr>
        <w:numPr>
          <w:ilvl w:val="0"/>
          <w:numId w:val="1"/>
        </w:numPr>
        <w:snapToGrid w:val="0"/>
        <w:spacing w:before="156" w:beforeLines="50" w:after="156" w:afterLines="50" w:line="360" w:lineRule="auto"/>
        <w:jc w:val="center"/>
        <w:outlineLvl w:val="0"/>
        <w:rPr>
          <w:rFonts w:ascii="宋体" w:hAnsi="宋体" w:cs="宋体"/>
          <w:b/>
          <w:bCs/>
          <w:sz w:val="24"/>
        </w:rPr>
      </w:pPr>
      <w:bookmarkStart w:id="32" w:name="_Toc522192395"/>
      <w:r>
        <w:rPr>
          <w:rFonts w:hint="eastAsia" w:ascii="宋体" w:hAnsi="宋体" w:cs="宋体"/>
          <w:b/>
          <w:bCs/>
          <w:sz w:val="24"/>
        </w:rPr>
        <w:t xml:space="preserve"> 改进方案</w:t>
      </w:r>
    </w:p>
    <w:p w14:paraId="63F3DAAE">
      <w:pPr>
        <w:pStyle w:val="2"/>
        <w:spacing w:line="360" w:lineRule="auto"/>
        <w:ind w:left="0" w:leftChars="0" w:firstLine="480"/>
        <w:rPr>
          <w:rFonts w:asciiTheme="minorHAnsi" w:hAnsiTheme="minorHAnsi" w:cstheme="minorBidi"/>
          <w:sz w:val="24"/>
        </w:rPr>
      </w:pPr>
      <w:r>
        <w:rPr>
          <w:rFonts w:hint="eastAsia" w:asciiTheme="minorHAnsi" w:hAnsiTheme="minorHAnsi" w:cstheme="minorBidi"/>
          <w:sz w:val="24"/>
        </w:rPr>
        <w:t>公司正计划上</w:t>
      </w:r>
      <w:r>
        <w:rPr>
          <w:rFonts w:hint="eastAsia" w:asciiTheme="minorHAnsi" w:hAnsiTheme="minorHAnsi" w:cstheme="minorBidi"/>
          <w:sz w:val="24"/>
          <w:lang w:val="en-US" w:eastAsia="zh-CN"/>
        </w:rPr>
        <w:t>产线技术改造</w:t>
      </w:r>
      <w:r>
        <w:rPr>
          <w:rFonts w:hint="eastAsia" w:asciiTheme="minorHAnsi" w:hAnsiTheme="minorHAnsi" w:cstheme="minorBidi"/>
          <w:sz w:val="24"/>
        </w:rPr>
        <w:t>项目，</w:t>
      </w:r>
      <w:r>
        <w:rPr>
          <w:rFonts w:hint="eastAsia" w:asciiTheme="minorHAnsi" w:hAnsiTheme="minorHAnsi" w:cstheme="minorBidi"/>
          <w:sz w:val="24"/>
          <w:lang w:val="en-US" w:eastAsia="zh-CN"/>
        </w:rPr>
        <w:t>减少用电量</w:t>
      </w:r>
      <w:r>
        <w:rPr>
          <w:rFonts w:hint="eastAsia" w:asciiTheme="minorHAnsi" w:hAnsiTheme="minorHAnsi" w:cstheme="minorBidi"/>
          <w:sz w:val="24"/>
        </w:rPr>
        <w:t>，</w:t>
      </w:r>
      <w:r>
        <w:rPr>
          <w:rFonts w:hint="eastAsia" w:asciiTheme="minorHAnsi" w:hAnsiTheme="minorHAnsi" w:cstheme="minorBidi"/>
          <w:sz w:val="24"/>
          <w:lang w:val="en-US" w:eastAsia="zh-CN"/>
        </w:rPr>
        <w:t>间接减少</w:t>
      </w:r>
      <w:r>
        <w:rPr>
          <w:rFonts w:hint="eastAsia" w:asciiTheme="minorHAnsi" w:hAnsiTheme="minorHAnsi" w:cstheme="minorBidi"/>
          <w:sz w:val="24"/>
        </w:rPr>
        <w:t>CO</w:t>
      </w:r>
      <w:r>
        <w:rPr>
          <w:rFonts w:hint="eastAsia" w:asciiTheme="minorHAnsi" w:hAnsiTheme="minorHAnsi" w:cstheme="minorBidi"/>
          <w:sz w:val="24"/>
          <w:vertAlign w:val="subscript"/>
        </w:rPr>
        <w:t>2</w:t>
      </w:r>
      <w:r>
        <w:rPr>
          <w:rFonts w:hint="eastAsia" w:asciiTheme="minorHAnsi" w:hAnsiTheme="minorHAnsi" w:cstheme="minorBidi"/>
          <w:sz w:val="24"/>
        </w:rPr>
        <w:t>排放。</w:t>
      </w:r>
    </w:p>
    <w:p w14:paraId="2700332A">
      <w:pPr>
        <w:snapToGrid w:val="0"/>
        <w:spacing w:before="156" w:beforeLines="50" w:after="156" w:afterLines="50" w:line="360" w:lineRule="auto"/>
        <w:jc w:val="center"/>
        <w:outlineLvl w:val="0"/>
        <w:rPr>
          <w:rFonts w:hint="eastAsia" w:cs="宋体"/>
          <w:b/>
          <w:bCs/>
          <w:sz w:val="24"/>
        </w:rPr>
      </w:pPr>
    </w:p>
    <w:p w14:paraId="2D18F533">
      <w:pPr>
        <w:snapToGrid w:val="0"/>
        <w:spacing w:before="156" w:beforeLines="50" w:after="156" w:afterLines="50" w:line="360" w:lineRule="auto"/>
        <w:jc w:val="center"/>
        <w:outlineLvl w:val="0"/>
        <w:rPr>
          <w:rFonts w:cs="宋体"/>
          <w:b/>
          <w:bCs/>
          <w:sz w:val="24"/>
        </w:rPr>
      </w:pPr>
      <w:r>
        <w:rPr>
          <w:rFonts w:hint="eastAsia" w:cs="宋体"/>
          <w:b/>
          <w:bCs/>
          <w:sz w:val="24"/>
        </w:rPr>
        <w:t>第五章  未来温室气体排放评估</w:t>
      </w:r>
      <w:bookmarkEnd w:id="32"/>
    </w:p>
    <w:p w14:paraId="74B02DB4">
      <w:pPr>
        <w:adjustRightInd w:val="0"/>
        <w:snapToGrid w:val="0"/>
        <w:spacing w:before="156" w:beforeLines="50" w:after="156" w:afterLines="50"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公司产品涉及</w:t>
      </w:r>
      <w:r>
        <w:rPr>
          <w:rFonts w:hint="eastAsia"/>
          <w:sz w:val="24"/>
          <w:lang w:val="en-US" w:eastAsia="zh-CN"/>
        </w:rPr>
        <w:t>铝合金轮毂</w:t>
      </w:r>
      <w:r>
        <w:rPr>
          <w:rFonts w:hint="eastAsia"/>
          <w:sz w:val="24"/>
        </w:rPr>
        <w:t>制造，随着国家碳中和目标的开展，清洁能源，符合双碳产品所占比例的不断提高，公司碳排放量有望大幅下降，同时公司的光伏项目也能降低温室气体排放。</w:t>
      </w:r>
    </w:p>
    <w:p w14:paraId="40B2999E">
      <w:pPr>
        <w:pStyle w:val="2"/>
        <w:ind w:firstLine="480"/>
        <w:rPr>
          <w:sz w:val="24"/>
        </w:rPr>
      </w:pPr>
      <w:r>
        <w:rPr>
          <w:rFonts w:hint="eastAsia"/>
          <w:sz w:val="24"/>
        </w:rPr>
        <w:t xml:space="preserve">     </w:t>
      </w:r>
    </w:p>
    <w:p w14:paraId="50E73E64">
      <w:pPr>
        <w:pStyle w:val="2"/>
        <w:ind w:firstLine="480"/>
        <w:rPr>
          <w:sz w:val="24"/>
        </w:rPr>
      </w:pPr>
    </w:p>
    <w:p w14:paraId="6C51E620">
      <w:pPr>
        <w:pStyle w:val="2"/>
        <w:ind w:left="0" w:leftChars="0" w:firstLine="0" w:firstLineChars="0"/>
        <w:jc w:val="center"/>
        <w:rPr>
          <w:sz w:val="24"/>
        </w:rPr>
      </w:pPr>
      <w:r>
        <w:rPr>
          <w:rFonts w:hint="eastAsia" w:cs="宋体"/>
          <w:b/>
          <w:bCs/>
          <w:sz w:val="24"/>
        </w:rPr>
        <w:t>第六章   总结</w:t>
      </w:r>
    </w:p>
    <w:p w14:paraId="65FAC471">
      <w:pPr>
        <w:adjustRightInd w:val="0"/>
        <w:snapToGrid w:val="0"/>
        <w:spacing w:before="156" w:beforeLines="50" w:after="156" w:afterLines="50" w:line="360" w:lineRule="auto"/>
        <w:ind w:firstLine="480" w:firstLineChars="200"/>
        <w:rPr>
          <w:sz w:val="32"/>
          <w:szCs w:val="32"/>
        </w:rPr>
      </w:pPr>
      <w:r>
        <w:rPr>
          <w:rFonts w:hint="eastAsia"/>
          <w:sz w:val="24"/>
        </w:rPr>
        <w:t>经我公司自评，我公司的温室气体排放评审工作满足评价产品满足</w:t>
      </w:r>
      <w:r>
        <w:rPr>
          <w:rFonts w:hint="eastAsia" w:cs="宋体"/>
          <w:b/>
          <w:bCs/>
          <w:sz w:val="24"/>
        </w:rPr>
        <w:t>ISO14064-1:2018</w:t>
      </w:r>
      <w:r>
        <w:rPr>
          <w:rFonts w:hint="eastAsia"/>
          <w:sz w:val="24"/>
        </w:rPr>
        <w:t>中的基本要求，</w:t>
      </w:r>
      <w:r>
        <w:rPr>
          <w:rFonts w:hint="eastAsia" w:ascii="宋体" w:hAnsi="宋体" w:cs="宋体"/>
          <w:sz w:val="24"/>
        </w:rPr>
        <w:t>基础考核标准</w:t>
      </w:r>
      <w:r>
        <w:rPr>
          <w:rFonts w:hint="eastAsia"/>
          <w:sz w:val="24"/>
        </w:rPr>
        <w:t>和</w:t>
      </w:r>
      <w:r>
        <w:rPr>
          <w:rFonts w:hint="eastAsia" w:ascii="宋体" w:hAnsi="宋体" w:cs="宋体"/>
          <w:sz w:val="24"/>
        </w:rPr>
        <w:t>技术考核标准</w:t>
      </w:r>
      <w:r>
        <w:rPr>
          <w:rFonts w:hint="eastAsia"/>
          <w:sz w:val="24"/>
        </w:rPr>
        <w:t>指标的要求。我公司将持续开展能源评价工作，</w:t>
      </w:r>
      <w:r>
        <w:rPr>
          <w:rFonts w:hint="eastAsia" w:cs="宋体"/>
          <w:sz w:val="24"/>
        </w:rPr>
        <w:t>发现存在的问题和漏洞，为能源管理提供真实可靠的利用状况，挖掘节能潜力并提出切实可行的节能措或建议，推进公司节能减排目标的顺利实现，提升公司能源及环境的管理水平。</w:t>
      </w:r>
    </w:p>
    <w:sectPr>
      <w:footerReference r:id="rId5" w:type="default"/>
      <w:endnotePr>
        <w:numFmt w:val="decimal"/>
      </w:endnotePr>
      <w:pgSz w:w="11906" w:h="16838"/>
      <w:pgMar w:top="1440" w:right="1588" w:bottom="1440" w:left="158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2A9FD0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D0A56F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D0A56F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8924A7">
    <w:pPr>
      <w:pStyle w:val="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A54E3C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A54E3C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4F0344">
    <w:pPr>
      <w:pStyle w:val="8"/>
      <w:tabs>
        <w:tab w:val="left" w:pos="1032"/>
      </w:tabs>
      <w:jc w:val="left"/>
      <w:rPr>
        <w:rFonts w:eastAsia="宋体"/>
      </w:rPr>
    </w:pPr>
    <w:r>
      <w:rPr>
        <w:rFonts w:hint="eastAsia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6E3396"/>
    <w:multiLevelType w:val="singleLevel"/>
    <w:tmpl w:val="A36E3396"/>
    <w:lvl w:ilvl="0" w:tentative="0">
      <w:start w:val="4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1MGNlZjkzMjEwNDMzZWVmY2RlNjFlZWM5NzBjZTAifQ=="/>
  </w:docVars>
  <w:rsids>
    <w:rsidRoot w:val="44E15612"/>
    <w:rsid w:val="000A19CF"/>
    <w:rsid w:val="003B471D"/>
    <w:rsid w:val="00403F72"/>
    <w:rsid w:val="004D4F4E"/>
    <w:rsid w:val="006E7BAA"/>
    <w:rsid w:val="007613C8"/>
    <w:rsid w:val="00845AAE"/>
    <w:rsid w:val="008F07CD"/>
    <w:rsid w:val="00A15146"/>
    <w:rsid w:val="00C541F8"/>
    <w:rsid w:val="00DE77A8"/>
    <w:rsid w:val="00F17F39"/>
    <w:rsid w:val="00F8173E"/>
    <w:rsid w:val="02BC393F"/>
    <w:rsid w:val="02FE7E10"/>
    <w:rsid w:val="0393455D"/>
    <w:rsid w:val="04BF3F0D"/>
    <w:rsid w:val="05241B93"/>
    <w:rsid w:val="089808CE"/>
    <w:rsid w:val="0ABE04E4"/>
    <w:rsid w:val="0B506AD8"/>
    <w:rsid w:val="0BFA7B9C"/>
    <w:rsid w:val="0CBD671A"/>
    <w:rsid w:val="0CDA7707"/>
    <w:rsid w:val="0CED0068"/>
    <w:rsid w:val="0D3D5EE8"/>
    <w:rsid w:val="0D904269"/>
    <w:rsid w:val="0DF91E0E"/>
    <w:rsid w:val="0EA74904"/>
    <w:rsid w:val="101103E2"/>
    <w:rsid w:val="101621AB"/>
    <w:rsid w:val="10745715"/>
    <w:rsid w:val="119A7465"/>
    <w:rsid w:val="11BB35A4"/>
    <w:rsid w:val="13577225"/>
    <w:rsid w:val="13DA7FEC"/>
    <w:rsid w:val="14FC3F92"/>
    <w:rsid w:val="15520056"/>
    <w:rsid w:val="1692519B"/>
    <w:rsid w:val="172B7F68"/>
    <w:rsid w:val="1B6A528D"/>
    <w:rsid w:val="1BD143CB"/>
    <w:rsid w:val="1CD05CD9"/>
    <w:rsid w:val="1E875CFC"/>
    <w:rsid w:val="1EE53CE9"/>
    <w:rsid w:val="1F3F164B"/>
    <w:rsid w:val="1FB24B7E"/>
    <w:rsid w:val="204B70F1"/>
    <w:rsid w:val="207C5F86"/>
    <w:rsid w:val="21C5052E"/>
    <w:rsid w:val="25CC2570"/>
    <w:rsid w:val="25DA68FE"/>
    <w:rsid w:val="2627181E"/>
    <w:rsid w:val="267609FD"/>
    <w:rsid w:val="28F2772E"/>
    <w:rsid w:val="29F538F1"/>
    <w:rsid w:val="2ABF13A7"/>
    <w:rsid w:val="2AEB17BD"/>
    <w:rsid w:val="2CFC64B7"/>
    <w:rsid w:val="2D6A1F89"/>
    <w:rsid w:val="3048432F"/>
    <w:rsid w:val="306B7BAD"/>
    <w:rsid w:val="306E3B3E"/>
    <w:rsid w:val="30CC6E66"/>
    <w:rsid w:val="31E00A6C"/>
    <w:rsid w:val="33CF2B46"/>
    <w:rsid w:val="35771A27"/>
    <w:rsid w:val="358454FF"/>
    <w:rsid w:val="36640D3A"/>
    <w:rsid w:val="378E2D18"/>
    <w:rsid w:val="37D42E21"/>
    <w:rsid w:val="38636E58"/>
    <w:rsid w:val="38B844F1"/>
    <w:rsid w:val="38FA68B7"/>
    <w:rsid w:val="39B95231"/>
    <w:rsid w:val="3B1B48C3"/>
    <w:rsid w:val="3CE5162C"/>
    <w:rsid w:val="3D3103CE"/>
    <w:rsid w:val="3E9F3123"/>
    <w:rsid w:val="3EC040FF"/>
    <w:rsid w:val="3FDA11F0"/>
    <w:rsid w:val="3FF451AE"/>
    <w:rsid w:val="40285EAC"/>
    <w:rsid w:val="4297462A"/>
    <w:rsid w:val="43CE1B59"/>
    <w:rsid w:val="44E15612"/>
    <w:rsid w:val="453E7B2C"/>
    <w:rsid w:val="457C4008"/>
    <w:rsid w:val="45886FF9"/>
    <w:rsid w:val="4673026D"/>
    <w:rsid w:val="47F46BC7"/>
    <w:rsid w:val="49033566"/>
    <w:rsid w:val="4904108C"/>
    <w:rsid w:val="49A62C56"/>
    <w:rsid w:val="49AA39E1"/>
    <w:rsid w:val="4A5D0A54"/>
    <w:rsid w:val="4BDC7C37"/>
    <w:rsid w:val="4C1A4723"/>
    <w:rsid w:val="4C602597"/>
    <w:rsid w:val="4C631A51"/>
    <w:rsid w:val="4CB63F69"/>
    <w:rsid w:val="4D3A1520"/>
    <w:rsid w:val="4E2A3343"/>
    <w:rsid w:val="4E6A08EA"/>
    <w:rsid w:val="4FB2677D"/>
    <w:rsid w:val="50B345F4"/>
    <w:rsid w:val="51437AA1"/>
    <w:rsid w:val="51F97D61"/>
    <w:rsid w:val="538C5138"/>
    <w:rsid w:val="53C47D96"/>
    <w:rsid w:val="53EE2E30"/>
    <w:rsid w:val="54F15D3A"/>
    <w:rsid w:val="554E280E"/>
    <w:rsid w:val="557B4484"/>
    <w:rsid w:val="56B04601"/>
    <w:rsid w:val="57CA34A1"/>
    <w:rsid w:val="58496ABB"/>
    <w:rsid w:val="59050C34"/>
    <w:rsid w:val="5A8503B2"/>
    <w:rsid w:val="5C622D43"/>
    <w:rsid w:val="5DAF116F"/>
    <w:rsid w:val="5E204012"/>
    <w:rsid w:val="5E40626B"/>
    <w:rsid w:val="60D333C6"/>
    <w:rsid w:val="61DB34F4"/>
    <w:rsid w:val="62D578C9"/>
    <w:rsid w:val="63181564"/>
    <w:rsid w:val="640C6534"/>
    <w:rsid w:val="65F33DC5"/>
    <w:rsid w:val="66E8749F"/>
    <w:rsid w:val="67FD5B3D"/>
    <w:rsid w:val="688A2F04"/>
    <w:rsid w:val="6917241F"/>
    <w:rsid w:val="692C520B"/>
    <w:rsid w:val="698C6808"/>
    <w:rsid w:val="69E44896"/>
    <w:rsid w:val="6B0625EA"/>
    <w:rsid w:val="6C7041BF"/>
    <w:rsid w:val="6D4B0788"/>
    <w:rsid w:val="6EE9087B"/>
    <w:rsid w:val="700417EE"/>
    <w:rsid w:val="70514B0A"/>
    <w:rsid w:val="716772A9"/>
    <w:rsid w:val="71817A13"/>
    <w:rsid w:val="72B801EC"/>
    <w:rsid w:val="73D56FFD"/>
    <w:rsid w:val="78F77D47"/>
    <w:rsid w:val="7A615DD2"/>
    <w:rsid w:val="7AA92104"/>
    <w:rsid w:val="7BB32F79"/>
    <w:rsid w:val="7D47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  <w:rPr>
      <w:rFonts w:ascii="Calibri" w:hAnsi="Calibri" w:cs="Calibri"/>
    </w:rPr>
  </w:style>
  <w:style w:type="paragraph" w:styleId="4">
    <w:name w:val="Body Text"/>
    <w:basedOn w:val="1"/>
    <w:next w:val="5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4"/>
      <w:lang w:val="zh-CN" w:bidi="zh-CN"/>
    </w:rPr>
  </w:style>
  <w:style w:type="paragraph" w:customStyle="1" w:styleId="5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6">
    <w:name w:val="Body Text Indent 2"/>
    <w:basedOn w:val="1"/>
    <w:qFormat/>
    <w:uiPriority w:val="99"/>
    <w:pPr>
      <w:spacing w:line="360" w:lineRule="auto"/>
      <w:ind w:firstLine="560" w:firstLineChars="200"/>
    </w:pPr>
    <w:rPr>
      <w:sz w:val="28"/>
      <w:szCs w:val="28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qFormat/>
    <w:uiPriority w:val="39"/>
  </w:style>
  <w:style w:type="paragraph" w:styleId="10">
    <w:name w:val="toc 2"/>
    <w:basedOn w:val="1"/>
    <w:next w:val="1"/>
    <w:qFormat/>
    <w:uiPriority w:val="39"/>
    <w:pPr>
      <w:ind w:left="420" w:leftChars="200"/>
    </w:pPr>
  </w:style>
  <w:style w:type="table" w:styleId="12">
    <w:name w:val="Table Grid"/>
    <w:basedOn w:val="11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1285</Words>
  <Characters>1674</Characters>
  <Lines>98</Lines>
  <Paragraphs>95</Paragraphs>
  <TotalTime>7</TotalTime>
  <ScaleCrop>false</ScaleCrop>
  <LinksUpToDate>false</LinksUpToDate>
  <CharactersWithSpaces>1730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2022-09-06T00:03:00Z</dcterms:created>
  <dc:creator>魂斗罗进化</dc:creator>
  <cp:lastModifiedBy>WPS用户</cp:lastModifiedBy>
  <dcterms:modified xsi:type="dcterms:W3CDTF">2025-04-10T02:03:26Z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A327C71CA8C84D2ABD5440548E69792E_13</vt:lpwstr>
  </property>
  <property fmtid="{D5CDD505-2E9C-101B-9397-08002B2CF9AE}" pid="4" name="documentUniqueId">
    <vt:lpwstr>a7f2a82f-36e8-4749-9763-3d00fb47a9b9</vt:lpwstr>
  </property>
  <property fmtid="{D5CDD505-2E9C-101B-9397-08002B2CF9AE}" pid="5" name="KSOTemplateDocerSaveRecord">
    <vt:lpwstr>eyJoZGlkIjoiYWQ1MGNlZjkzMjEwNDMzZWVmY2RlNjFlZWM5NzBjZTAiLCJ1c2VySWQiOiI2MzYyNDI4MjIifQ==</vt:lpwstr>
  </property>
</Properties>
</file>