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6EC6F">
      <w:pPr>
        <w:pStyle w:val="4"/>
        <w:keepNext w:val="0"/>
        <w:keepLines w:val="0"/>
        <w:pageBreakBefore w:val="0"/>
        <w:widowControl/>
        <w:kinsoku/>
        <w:wordWrap/>
        <w:overflowPunct/>
        <w:topLinePunct w:val="0"/>
        <w:autoSpaceDE w:val="0"/>
        <w:autoSpaceDN w:val="0"/>
        <w:bidi w:val="0"/>
        <w:adjustRightInd w:val="0"/>
        <w:snapToGrid w:val="0"/>
        <w:spacing w:line="267" w:lineRule="auto"/>
        <w:jc w:val="both"/>
        <w:textAlignment w:val="baseline"/>
      </w:pPr>
    </w:p>
    <w:p w14:paraId="1BBB2618">
      <w:pPr>
        <w:pStyle w:val="4"/>
        <w:keepNext w:val="0"/>
        <w:keepLines w:val="0"/>
        <w:pageBreakBefore w:val="0"/>
        <w:widowControl/>
        <w:kinsoku/>
        <w:wordWrap/>
        <w:overflowPunct/>
        <w:topLinePunct w:val="0"/>
        <w:autoSpaceDE w:val="0"/>
        <w:autoSpaceDN w:val="0"/>
        <w:bidi w:val="0"/>
        <w:adjustRightInd w:val="0"/>
        <w:snapToGrid w:val="0"/>
        <w:spacing w:line="268" w:lineRule="auto"/>
        <w:jc w:val="both"/>
        <w:textAlignment w:val="baseline"/>
      </w:pPr>
    </w:p>
    <w:p w14:paraId="381C6170">
      <w:pPr>
        <w:pStyle w:val="4"/>
        <w:keepNext w:val="0"/>
        <w:keepLines w:val="0"/>
        <w:pageBreakBefore w:val="0"/>
        <w:widowControl/>
        <w:kinsoku/>
        <w:wordWrap/>
        <w:overflowPunct/>
        <w:topLinePunct w:val="0"/>
        <w:autoSpaceDE w:val="0"/>
        <w:autoSpaceDN w:val="0"/>
        <w:bidi w:val="0"/>
        <w:adjustRightInd w:val="0"/>
        <w:snapToGrid w:val="0"/>
        <w:spacing w:line="268" w:lineRule="auto"/>
        <w:jc w:val="both"/>
        <w:textAlignment w:val="baseline"/>
      </w:pPr>
    </w:p>
    <w:p w14:paraId="2E9723CC">
      <w:pPr>
        <w:pStyle w:val="4"/>
        <w:keepNext w:val="0"/>
        <w:keepLines w:val="0"/>
        <w:pageBreakBefore w:val="0"/>
        <w:widowControl/>
        <w:kinsoku/>
        <w:wordWrap/>
        <w:overflowPunct/>
        <w:topLinePunct w:val="0"/>
        <w:autoSpaceDE w:val="0"/>
        <w:autoSpaceDN w:val="0"/>
        <w:bidi w:val="0"/>
        <w:adjustRightInd w:val="0"/>
        <w:snapToGrid w:val="0"/>
        <w:spacing w:line="268" w:lineRule="auto"/>
        <w:jc w:val="both"/>
        <w:textAlignment w:val="baseline"/>
      </w:pPr>
    </w:p>
    <w:p w14:paraId="5B0A1473">
      <w:pPr>
        <w:pStyle w:val="4"/>
        <w:keepNext w:val="0"/>
        <w:keepLines w:val="0"/>
        <w:pageBreakBefore w:val="0"/>
        <w:widowControl/>
        <w:kinsoku/>
        <w:wordWrap/>
        <w:overflowPunct/>
        <w:topLinePunct w:val="0"/>
        <w:autoSpaceDE w:val="0"/>
        <w:autoSpaceDN w:val="0"/>
        <w:bidi w:val="0"/>
        <w:adjustRightInd w:val="0"/>
        <w:snapToGrid w:val="0"/>
        <w:spacing w:line="268" w:lineRule="auto"/>
        <w:jc w:val="both"/>
        <w:textAlignment w:val="baseline"/>
      </w:pPr>
    </w:p>
    <w:p w14:paraId="363CBE59">
      <w:pPr>
        <w:pStyle w:val="4"/>
        <w:keepNext w:val="0"/>
        <w:keepLines w:val="0"/>
        <w:pageBreakBefore w:val="0"/>
        <w:widowControl/>
        <w:kinsoku/>
        <w:wordWrap/>
        <w:overflowPunct/>
        <w:topLinePunct w:val="0"/>
        <w:autoSpaceDE w:val="0"/>
        <w:autoSpaceDN w:val="0"/>
        <w:bidi w:val="0"/>
        <w:adjustRightInd w:val="0"/>
        <w:snapToGrid w:val="0"/>
        <w:spacing w:line="268" w:lineRule="auto"/>
        <w:jc w:val="both"/>
        <w:textAlignment w:val="baseline"/>
      </w:pPr>
    </w:p>
    <w:p w14:paraId="153B8A6C">
      <w:pPr>
        <w:keepNext w:val="0"/>
        <w:keepLines w:val="0"/>
        <w:pageBreakBefore w:val="0"/>
        <w:widowControl/>
        <w:kinsoku/>
        <w:wordWrap/>
        <w:overflowPunct/>
        <w:topLinePunct w:val="0"/>
        <w:autoSpaceDE w:val="0"/>
        <w:autoSpaceDN w:val="0"/>
        <w:bidi w:val="0"/>
        <w:adjustRightInd w:val="0"/>
        <w:snapToGrid w:val="0"/>
        <w:spacing w:before="169" w:line="220" w:lineRule="auto"/>
        <w:jc w:val="center"/>
        <w:textAlignment w:val="baseline"/>
        <w:outlineLvl w:val="9"/>
        <w:rPr>
          <w:rFonts w:ascii="黑体" w:hAnsi="黑体" w:eastAsia="黑体" w:cs="黑体"/>
          <w:sz w:val="52"/>
          <w:szCs w:val="52"/>
        </w:rPr>
      </w:pPr>
      <w:r>
        <w:rPr>
          <w:rFonts w:hint="eastAsia" w:ascii="黑体" w:hAnsi="黑体" w:eastAsia="黑体" w:cs="黑体"/>
          <w:spacing w:val="-2"/>
          <w:sz w:val="52"/>
          <w:szCs w:val="52"/>
          <w:lang w:val="en-US" w:eastAsia="zh-CN"/>
          <w14:textOutline w14:w="9461" w14:cap="sq" w14:cmpd="sng">
            <w14:solidFill>
              <w14:srgbClr w14:val="000000"/>
            </w14:solidFill>
            <w14:prstDash w14:val="solid"/>
            <w14:bevel/>
          </w14:textOutline>
        </w:rPr>
        <w:t>常州理工科技股份有限公司</w:t>
      </w:r>
    </w:p>
    <w:p w14:paraId="13C7C7FC">
      <w:pPr>
        <w:keepNext w:val="0"/>
        <w:keepLines w:val="0"/>
        <w:pageBreakBefore w:val="0"/>
        <w:widowControl/>
        <w:kinsoku/>
        <w:wordWrap/>
        <w:overflowPunct/>
        <w:topLinePunct w:val="0"/>
        <w:autoSpaceDE w:val="0"/>
        <w:autoSpaceDN w:val="0"/>
        <w:bidi w:val="0"/>
        <w:adjustRightInd w:val="0"/>
        <w:snapToGrid w:val="0"/>
        <w:spacing w:before="179" w:line="225" w:lineRule="auto"/>
        <w:ind w:left="3021"/>
        <w:jc w:val="both"/>
        <w:textAlignment w:val="baseline"/>
        <w:outlineLvl w:val="9"/>
        <w:rPr>
          <w:rFonts w:ascii="黑体" w:hAnsi="黑体" w:eastAsia="黑体" w:cs="黑体"/>
          <w:sz w:val="47"/>
          <w:szCs w:val="47"/>
        </w:rPr>
      </w:pPr>
      <w:r>
        <w:rPr>
          <w:rFonts w:ascii="黑体" w:hAnsi="黑体" w:eastAsia="黑体" w:cs="黑体"/>
          <w:spacing w:val="8"/>
          <w:sz w:val="47"/>
          <w:szCs w:val="47"/>
          <w14:textOutline w14:w="8712" w14:cap="sq" w14:cmpd="sng">
            <w14:solidFill>
              <w14:srgbClr w14:val="000000"/>
            </w14:solidFill>
            <w14:prstDash w14:val="solid"/>
            <w14:bevel/>
          </w14:textOutline>
        </w:rPr>
        <w:t>社会责任报告</w:t>
      </w:r>
    </w:p>
    <w:p w14:paraId="787AEF5B">
      <w:pPr>
        <w:keepNext w:val="0"/>
        <w:keepLines w:val="0"/>
        <w:pageBreakBefore w:val="0"/>
        <w:widowControl/>
        <w:kinsoku/>
        <w:wordWrap/>
        <w:overflowPunct/>
        <w:topLinePunct w:val="0"/>
        <w:autoSpaceDE w:val="0"/>
        <w:autoSpaceDN w:val="0"/>
        <w:bidi w:val="0"/>
        <w:adjustRightInd w:val="0"/>
        <w:snapToGrid w:val="0"/>
        <w:spacing w:before="186" w:line="222" w:lineRule="auto"/>
        <w:ind w:left="2873"/>
        <w:jc w:val="both"/>
        <w:textAlignment w:val="baseline"/>
        <w:rPr>
          <w:rFonts w:ascii="黑体" w:hAnsi="黑体" w:eastAsia="黑体" w:cs="黑体"/>
          <w:spacing w:val="-8"/>
          <w:sz w:val="52"/>
          <w:szCs w:val="52"/>
          <w14:textOutline w14:w="9461" w14:cap="sq" w14:cmpd="sng">
            <w14:solidFill>
              <w14:srgbClr w14:val="000000"/>
            </w14:solidFill>
            <w14:prstDash w14:val="solid"/>
            <w14:bevel/>
          </w14:textOutline>
        </w:rPr>
      </w:pPr>
      <w:r>
        <w:rPr>
          <w:rFonts w:ascii="黑体" w:hAnsi="黑体" w:eastAsia="黑体" w:cs="黑体"/>
          <w:spacing w:val="-8"/>
          <w:sz w:val="52"/>
          <w:szCs w:val="52"/>
          <w14:textOutline w14:w="9461" w14:cap="sq" w14:cmpd="sng">
            <w14:solidFill>
              <w14:srgbClr w14:val="000000"/>
            </w14:solidFill>
            <w14:prstDash w14:val="solid"/>
            <w14:bevel/>
          </w14:textOutline>
        </w:rPr>
        <w:t>（202</w:t>
      </w:r>
      <w:r>
        <w:rPr>
          <w:rFonts w:hint="eastAsia" w:ascii="黑体" w:hAnsi="黑体" w:eastAsia="黑体" w:cs="黑体"/>
          <w:spacing w:val="-8"/>
          <w:sz w:val="52"/>
          <w:szCs w:val="52"/>
          <w:lang w:val="en-US" w:eastAsia="zh-CN"/>
          <w14:textOutline w14:w="9461" w14:cap="sq" w14:cmpd="sng">
            <w14:solidFill>
              <w14:srgbClr w14:val="000000"/>
            </w14:solidFill>
            <w14:prstDash w14:val="solid"/>
            <w14:bevel/>
          </w14:textOutline>
        </w:rPr>
        <w:t>4</w:t>
      </w:r>
      <w:r>
        <w:rPr>
          <w:rFonts w:ascii="黑体" w:hAnsi="黑体" w:eastAsia="黑体" w:cs="黑体"/>
          <w:spacing w:val="-8"/>
          <w:sz w:val="52"/>
          <w:szCs w:val="52"/>
          <w14:textOutline w14:w="9461" w14:cap="sq" w14:cmpd="sng">
            <w14:solidFill>
              <w14:srgbClr w14:val="000000"/>
            </w14:solidFill>
            <w14:prstDash w14:val="solid"/>
            <w14:bevel/>
          </w14:textOutline>
        </w:rPr>
        <w:t>年度）</w:t>
      </w:r>
    </w:p>
    <w:p w14:paraId="1FC94CF7">
      <w:pPr>
        <w:pStyle w:val="4"/>
      </w:pPr>
    </w:p>
    <w:p w14:paraId="62144CD2">
      <w:pPr>
        <w:pStyle w:val="4"/>
        <w:keepNext w:val="0"/>
        <w:keepLines w:val="0"/>
        <w:pageBreakBefore w:val="0"/>
        <w:widowControl/>
        <w:kinsoku/>
        <w:wordWrap/>
        <w:overflowPunct/>
        <w:topLinePunct w:val="0"/>
        <w:autoSpaceDE w:val="0"/>
        <w:autoSpaceDN w:val="0"/>
        <w:bidi w:val="0"/>
        <w:adjustRightInd w:val="0"/>
        <w:snapToGrid w:val="0"/>
        <w:jc w:val="both"/>
        <w:textAlignment w:val="baseline"/>
      </w:pPr>
    </w:p>
    <w:p w14:paraId="75BAE890">
      <w:pPr>
        <w:pStyle w:val="4"/>
        <w:keepNext w:val="0"/>
        <w:keepLines w:val="0"/>
        <w:pageBreakBefore w:val="0"/>
        <w:widowControl/>
        <w:kinsoku/>
        <w:wordWrap/>
        <w:overflowPunct/>
        <w:topLinePunct w:val="0"/>
        <w:autoSpaceDE w:val="0"/>
        <w:autoSpaceDN w:val="0"/>
        <w:bidi w:val="0"/>
        <w:adjustRightInd w:val="0"/>
        <w:snapToGrid w:val="0"/>
        <w:jc w:val="both"/>
        <w:textAlignment w:val="baseline"/>
      </w:pPr>
    </w:p>
    <w:p w14:paraId="7BA1E5BF">
      <w:pPr>
        <w:pStyle w:val="4"/>
        <w:keepNext w:val="0"/>
        <w:keepLines w:val="0"/>
        <w:pageBreakBefore w:val="0"/>
        <w:widowControl/>
        <w:kinsoku/>
        <w:wordWrap/>
        <w:overflowPunct/>
        <w:topLinePunct w:val="0"/>
        <w:autoSpaceDE w:val="0"/>
        <w:autoSpaceDN w:val="0"/>
        <w:bidi w:val="0"/>
        <w:adjustRightInd w:val="0"/>
        <w:snapToGrid w:val="0"/>
        <w:jc w:val="both"/>
        <w:textAlignment w:val="baseline"/>
      </w:pPr>
    </w:p>
    <w:p w14:paraId="3136E3F2">
      <w:pPr>
        <w:pStyle w:val="4"/>
        <w:keepNext w:val="0"/>
        <w:keepLines w:val="0"/>
        <w:pageBreakBefore w:val="0"/>
        <w:widowControl/>
        <w:kinsoku/>
        <w:wordWrap/>
        <w:overflowPunct/>
        <w:topLinePunct w:val="0"/>
        <w:autoSpaceDE w:val="0"/>
        <w:autoSpaceDN w:val="0"/>
        <w:bidi w:val="0"/>
        <w:adjustRightInd w:val="0"/>
        <w:snapToGrid w:val="0"/>
        <w:jc w:val="both"/>
        <w:textAlignment w:val="baseline"/>
        <w:rPr>
          <w:sz w:val="28"/>
          <w:szCs w:val="28"/>
          <w:highlight w:val="red"/>
        </w:rPr>
      </w:pPr>
    </w:p>
    <w:p w14:paraId="67F73AE8">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1135000B">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1A111A6A">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34DF8252">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412C7D2D">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0D2A389E">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7CB24B18">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47BB277A">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0065590C">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334A14EC">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7BCDAB88">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3E2582D2">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69FCC296">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3260D91E">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37945247">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2E8AD1F4">
      <w:pPr>
        <w:pStyle w:val="4"/>
        <w:keepNext w:val="0"/>
        <w:keepLines w:val="0"/>
        <w:pageBreakBefore w:val="0"/>
        <w:widowControl/>
        <w:kinsoku/>
        <w:wordWrap/>
        <w:overflowPunct/>
        <w:topLinePunct w:val="0"/>
        <w:autoSpaceDE w:val="0"/>
        <w:autoSpaceDN w:val="0"/>
        <w:bidi w:val="0"/>
        <w:adjustRightInd w:val="0"/>
        <w:snapToGrid w:val="0"/>
        <w:spacing w:line="241" w:lineRule="auto"/>
        <w:jc w:val="both"/>
        <w:textAlignment w:val="baseline"/>
      </w:pPr>
    </w:p>
    <w:p w14:paraId="28C3C6F4">
      <w:pPr>
        <w:keepNext w:val="0"/>
        <w:keepLines w:val="0"/>
        <w:pageBreakBefore w:val="0"/>
        <w:widowControl/>
        <w:kinsoku/>
        <w:wordWrap/>
        <w:overflowPunct/>
        <w:topLinePunct w:val="0"/>
        <w:autoSpaceDE w:val="0"/>
        <w:autoSpaceDN w:val="0"/>
        <w:bidi w:val="0"/>
        <w:adjustRightInd w:val="0"/>
        <w:snapToGrid w:val="0"/>
        <w:spacing w:before="101" w:line="225" w:lineRule="auto"/>
        <w:ind w:left="3216"/>
        <w:jc w:val="both"/>
        <w:textAlignment w:val="baseline"/>
        <w:rPr>
          <w:rFonts w:ascii="宋体" w:hAnsi="宋体" w:eastAsia="宋体" w:cs="宋体"/>
          <w:sz w:val="31"/>
          <w:szCs w:val="31"/>
        </w:rPr>
      </w:pPr>
      <w:r>
        <w:rPr>
          <w:rFonts w:ascii="Times New Roman" w:hAnsi="Times New Roman" w:eastAsia="Times New Roman" w:cs="Times New Roman"/>
          <w:b/>
          <w:bCs/>
          <w:spacing w:val="-1"/>
          <w:sz w:val="31"/>
          <w:szCs w:val="31"/>
        </w:rPr>
        <w:t>202</w:t>
      </w:r>
      <w:r>
        <w:rPr>
          <w:rFonts w:hint="eastAsia" w:ascii="Times New Roman" w:hAnsi="Times New Roman" w:eastAsia="宋体" w:cs="Times New Roman"/>
          <w:b/>
          <w:bCs/>
          <w:spacing w:val="-1"/>
          <w:sz w:val="31"/>
          <w:szCs w:val="31"/>
          <w:lang w:val="en-US" w:eastAsia="zh-CN"/>
        </w:rPr>
        <w:t>5</w:t>
      </w:r>
      <w:r>
        <w:rPr>
          <w:rFonts w:ascii="宋体" w:hAnsi="宋体" w:eastAsia="宋体" w:cs="宋体"/>
          <w:spacing w:val="-1"/>
          <w:sz w:val="31"/>
          <w:szCs w:val="31"/>
          <w14:textOutline w14:w="5791" w14:cap="sq" w14:cmpd="sng">
            <w14:solidFill>
              <w14:srgbClr w14:val="000000"/>
            </w14:solidFill>
            <w14:prstDash w14:val="solid"/>
            <w14:bevel/>
          </w14:textOutline>
        </w:rPr>
        <w:t>年</w:t>
      </w:r>
      <w:r>
        <w:rPr>
          <w:rFonts w:hint="eastAsia" w:ascii="Times New Roman" w:hAnsi="Times New Roman" w:eastAsia="宋体" w:cs="Times New Roman"/>
          <w:b/>
          <w:bCs/>
          <w:spacing w:val="-1"/>
          <w:sz w:val="31"/>
          <w:szCs w:val="31"/>
          <w:lang w:val="en-US" w:eastAsia="zh-CN"/>
        </w:rPr>
        <w:t>3</w:t>
      </w:r>
      <w:r>
        <w:rPr>
          <w:rFonts w:ascii="宋体" w:hAnsi="宋体" w:eastAsia="宋体" w:cs="宋体"/>
          <w:spacing w:val="-1"/>
          <w:sz w:val="31"/>
          <w:szCs w:val="31"/>
          <w14:textOutline w14:w="5791" w14:cap="sq" w14:cmpd="sng">
            <w14:solidFill>
              <w14:srgbClr w14:val="000000"/>
            </w14:solidFill>
            <w14:prstDash w14:val="solid"/>
            <w14:bevel/>
          </w14:textOutline>
        </w:rPr>
        <w:t>月</w:t>
      </w:r>
      <w:r>
        <w:rPr>
          <w:rFonts w:ascii="Times New Roman" w:hAnsi="Times New Roman" w:eastAsia="Times New Roman" w:cs="Times New Roman"/>
          <w:b/>
          <w:bCs/>
          <w:spacing w:val="-1"/>
          <w:sz w:val="31"/>
          <w:szCs w:val="31"/>
        </w:rPr>
        <w:t>15</w:t>
      </w:r>
      <w:r>
        <w:rPr>
          <w:rFonts w:ascii="宋体" w:hAnsi="宋体" w:eastAsia="宋体" w:cs="宋体"/>
          <w:spacing w:val="-1"/>
          <w:sz w:val="31"/>
          <w:szCs w:val="31"/>
          <w14:textOutline w14:w="5791" w14:cap="sq" w14:cmpd="sng">
            <w14:solidFill>
              <w14:srgbClr w14:val="000000"/>
            </w14:solidFill>
            <w14:prstDash w14:val="solid"/>
            <w14:bevel/>
          </w14:textOutline>
        </w:rPr>
        <w:t>日</w:t>
      </w:r>
    </w:p>
    <w:p w14:paraId="0885677B">
      <w:pPr>
        <w:keepNext w:val="0"/>
        <w:keepLines w:val="0"/>
        <w:pageBreakBefore w:val="0"/>
        <w:widowControl/>
        <w:kinsoku/>
        <w:wordWrap/>
        <w:overflowPunct/>
        <w:topLinePunct w:val="0"/>
        <w:autoSpaceDE w:val="0"/>
        <w:autoSpaceDN w:val="0"/>
        <w:bidi w:val="0"/>
        <w:adjustRightInd w:val="0"/>
        <w:snapToGrid w:val="0"/>
        <w:spacing w:line="225" w:lineRule="auto"/>
        <w:jc w:val="both"/>
        <w:textAlignment w:val="baseline"/>
        <w:rPr>
          <w:rFonts w:ascii="宋体" w:hAnsi="宋体" w:eastAsia="宋体" w:cs="宋体"/>
          <w:sz w:val="31"/>
          <w:szCs w:val="31"/>
        </w:rPr>
        <w:sectPr>
          <w:pgSz w:w="11906" w:h="16839"/>
          <w:pgMar w:top="1346" w:right="1785" w:bottom="0" w:left="1501" w:header="0" w:footer="0" w:gutter="0"/>
          <w:cols w:space="720" w:num="1"/>
        </w:sectPr>
      </w:pPr>
    </w:p>
    <w:p w14:paraId="78BDE31C">
      <w:pPr>
        <w:keepNext w:val="0"/>
        <w:keepLines w:val="0"/>
        <w:pageBreakBefore w:val="0"/>
        <w:widowControl/>
        <w:kinsoku/>
        <w:wordWrap/>
        <w:overflowPunct/>
        <w:topLinePunct w:val="0"/>
        <w:autoSpaceDE w:val="0"/>
        <w:autoSpaceDN w:val="0"/>
        <w:bidi w:val="0"/>
        <w:adjustRightInd w:val="0"/>
        <w:snapToGrid w:val="0"/>
        <w:spacing w:before="163" w:line="226" w:lineRule="auto"/>
        <w:ind w:left="23"/>
        <w:jc w:val="both"/>
        <w:textAlignment w:val="baseline"/>
        <w:outlineLvl w:val="9"/>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报告概述</w:t>
      </w:r>
    </w:p>
    <w:p w14:paraId="51B5925C">
      <w:pPr>
        <w:pStyle w:val="4"/>
        <w:keepNext w:val="0"/>
        <w:keepLines w:val="0"/>
        <w:pageBreakBefore w:val="0"/>
        <w:widowControl/>
        <w:kinsoku/>
        <w:wordWrap/>
        <w:overflowPunct/>
        <w:topLinePunct w:val="0"/>
        <w:autoSpaceDE w:val="0"/>
        <w:autoSpaceDN w:val="0"/>
        <w:bidi w:val="0"/>
        <w:adjustRightInd w:val="0"/>
        <w:snapToGrid w:val="0"/>
        <w:spacing w:line="304" w:lineRule="auto"/>
        <w:jc w:val="both"/>
        <w:textAlignment w:val="baseline"/>
      </w:pPr>
    </w:p>
    <w:p w14:paraId="709ADABA">
      <w:pPr>
        <w:keepNext w:val="0"/>
        <w:keepLines w:val="0"/>
        <w:pageBreakBefore w:val="0"/>
        <w:widowControl/>
        <w:kinsoku/>
        <w:wordWrap/>
        <w:overflowPunct/>
        <w:topLinePunct w:val="0"/>
        <w:autoSpaceDE w:val="0"/>
        <w:autoSpaceDN w:val="0"/>
        <w:bidi w:val="0"/>
        <w:adjustRightInd w:val="0"/>
        <w:snapToGrid w:val="0"/>
        <w:spacing w:before="78" w:line="235" w:lineRule="auto"/>
        <w:ind w:left="22" w:right="13" w:firstLine="481"/>
        <w:jc w:val="both"/>
        <w:textAlignment w:val="baseline"/>
        <w:rPr>
          <w:rFonts w:ascii="宋体" w:hAnsi="宋体" w:eastAsia="宋体" w:cs="宋体"/>
          <w:sz w:val="24"/>
          <w:szCs w:val="24"/>
        </w:rPr>
      </w:pPr>
      <w:r>
        <w:rPr>
          <w:rFonts w:ascii="宋体" w:hAnsi="宋体" w:eastAsia="宋体" w:cs="宋体"/>
          <w:spacing w:val="-3"/>
          <w:sz w:val="24"/>
          <w:szCs w:val="24"/>
        </w:rPr>
        <w:t>此报告为</w:t>
      </w:r>
      <w:r>
        <w:rPr>
          <w:rFonts w:hint="eastAsia" w:ascii="宋体" w:hAnsi="宋体" w:eastAsia="宋体" w:cs="宋体"/>
          <w:spacing w:val="-3"/>
          <w:sz w:val="24"/>
          <w:szCs w:val="24"/>
          <w:lang w:val="en-US" w:eastAsia="zh-CN"/>
        </w:rPr>
        <w:t>常州理工科技股份有限公司</w:t>
      </w:r>
      <w:r>
        <w:rPr>
          <w:rFonts w:ascii="宋体" w:hAnsi="宋体" w:eastAsia="宋体" w:cs="宋体"/>
          <w:spacing w:val="-3"/>
          <w:sz w:val="24"/>
          <w:szCs w:val="24"/>
        </w:rPr>
        <w:t>第一份对外公开发布的</w:t>
      </w:r>
      <w:r>
        <w:rPr>
          <w:rFonts w:ascii="宋体" w:hAnsi="宋体" w:eastAsia="宋体" w:cs="宋体"/>
          <w:spacing w:val="-4"/>
          <w:sz w:val="24"/>
          <w:szCs w:val="24"/>
        </w:rPr>
        <w:t>《社会责任报</w:t>
      </w:r>
      <w:r>
        <w:rPr>
          <w:rFonts w:ascii="宋体" w:hAnsi="宋体" w:eastAsia="宋体" w:cs="宋体"/>
          <w:spacing w:val="-12"/>
          <w:sz w:val="24"/>
          <w:szCs w:val="24"/>
        </w:rPr>
        <w:t>告》。本报告参照GRI（全球报告倡议组织）《可持续发</w:t>
      </w:r>
      <w:r>
        <w:rPr>
          <w:rFonts w:ascii="宋体" w:hAnsi="宋体" w:eastAsia="宋体" w:cs="宋体"/>
          <w:spacing w:val="-13"/>
          <w:sz w:val="24"/>
          <w:szCs w:val="24"/>
        </w:rPr>
        <w:t>展报告指南》（G3版）、</w:t>
      </w:r>
      <w:r>
        <w:rPr>
          <w:rFonts w:ascii="宋体" w:hAnsi="宋体" w:eastAsia="宋体" w:cs="宋体"/>
          <w:spacing w:val="-3"/>
          <w:sz w:val="24"/>
          <w:szCs w:val="24"/>
        </w:rPr>
        <w:t>中国社科院《中国企业社会责任报告编写指南》，并结合</w:t>
      </w:r>
      <w:r>
        <w:rPr>
          <w:rFonts w:hint="eastAsia" w:ascii="宋体" w:hAnsi="宋体" w:eastAsia="宋体" w:cs="宋体"/>
          <w:spacing w:val="-3"/>
          <w:sz w:val="24"/>
          <w:szCs w:val="24"/>
          <w:lang w:val="en-US" w:eastAsia="zh-CN"/>
        </w:rPr>
        <w:t>常州理工科技股份有限公司</w:t>
      </w:r>
      <w:r>
        <w:rPr>
          <w:rFonts w:ascii="宋体" w:hAnsi="宋体" w:eastAsia="宋体" w:cs="宋体"/>
          <w:spacing w:val="-3"/>
          <w:sz w:val="24"/>
          <w:szCs w:val="24"/>
        </w:rPr>
        <w:t>对社会责</w:t>
      </w:r>
      <w:r>
        <w:rPr>
          <w:rFonts w:ascii="宋体" w:hAnsi="宋体" w:eastAsia="宋体" w:cs="宋体"/>
          <w:spacing w:val="-1"/>
          <w:sz w:val="24"/>
          <w:szCs w:val="24"/>
        </w:rPr>
        <w:t>任的独特理解和</w:t>
      </w:r>
      <w:r>
        <w:rPr>
          <w:rFonts w:hint="eastAsia" w:ascii="宋体" w:hAnsi="宋体" w:eastAsia="宋体" w:cs="宋体"/>
          <w:spacing w:val="-3"/>
          <w:sz w:val="24"/>
          <w:szCs w:val="24"/>
          <w:lang w:val="en-US" w:eastAsia="zh-CN"/>
        </w:rPr>
        <w:t>常州理工科技股份有限公司</w:t>
      </w:r>
      <w:r>
        <w:rPr>
          <w:rFonts w:ascii="宋体" w:hAnsi="宋体" w:eastAsia="宋体" w:cs="宋体"/>
          <w:spacing w:val="-1"/>
          <w:sz w:val="24"/>
          <w:szCs w:val="24"/>
        </w:rPr>
        <w:t>的具体实践编写而成。</w:t>
      </w:r>
    </w:p>
    <w:p w14:paraId="24F61DC4">
      <w:pPr>
        <w:pStyle w:val="4"/>
        <w:keepNext w:val="0"/>
        <w:keepLines w:val="0"/>
        <w:pageBreakBefore w:val="0"/>
        <w:widowControl/>
        <w:kinsoku/>
        <w:wordWrap/>
        <w:overflowPunct/>
        <w:topLinePunct w:val="0"/>
        <w:autoSpaceDE w:val="0"/>
        <w:autoSpaceDN w:val="0"/>
        <w:bidi w:val="0"/>
        <w:adjustRightInd w:val="0"/>
        <w:snapToGrid w:val="0"/>
        <w:spacing w:line="319" w:lineRule="auto"/>
        <w:jc w:val="both"/>
        <w:textAlignment w:val="baseline"/>
      </w:pPr>
    </w:p>
    <w:p w14:paraId="68A2CE52">
      <w:pPr>
        <w:keepNext w:val="0"/>
        <w:keepLines w:val="0"/>
        <w:pageBreakBefore w:val="0"/>
        <w:widowControl/>
        <w:kinsoku/>
        <w:wordWrap/>
        <w:overflowPunct/>
        <w:topLinePunct w:val="0"/>
        <w:autoSpaceDE w:val="0"/>
        <w:autoSpaceDN w:val="0"/>
        <w:bidi w:val="0"/>
        <w:adjustRightInd w:val="0"/>
        <w:snapToGrid w:val="0"/>
        <w:spacing w:before="78" w:line="218" w:lineRule="auto"/>
        <w:ind w:left="21"/>
        <w:jc w:val="both"/>
        <w:textAlignment w:val="baseline"/>
        <w:outlineLvl w:val="9"/>
      </w:pPr>
      <w:r>
        <w:rPr>
          <w:rFonts w:ascii="宋体" w:hAnsi="宋体" w:eastAsia="宋体" w:cs="宋体"/>
          <w:spacing w:val="-2"/>
          <w:sz w:val="24"/>
          <w:szCs w:val="24"/>
        </w:rPr>
        <w:t>报告范围</w:t>
      </w:r>
    </w:p>
    <w:p w14:paraId="634C0D80">
      <w:pPr>
        <w:keepNext w:val="0"/>
        <w:keepLines w:val="0"/>
        <w:pageBreakBefore w:val="0"/>
        <w:widowControl/>
        <w:kinsoku/>
        <w:wordWrap/>
        <w:overflowPunct/>
        <w:topLinePunct w:val="0"/>
        <w:autoSpaceDE w:val="0"/>
        <w:autoSpaceDN w:val="0"/>
        <w:bidi w:val="0"/>
        <w:adjustRightInd w:val="0"/>
        <w:snapToGrid w:val="0"/>
        <w:spacing w:before="78" w:line="266" w:lineRule="auto"/>
        <w:ind w:left="24" w:right="13" w:firstLine="433"/>
        <w:jc w:val="both"/>
        <w:textAlignment w:val="baseline"/>
        <w:rPr>
          <w:rFonts w:ascii="宋体" w:hAnsi="宋体" w:eastAsia="宋体" w:cs="宋体"/>
          <w:sz w:val="24"/>
          <w:szCs w:val="24"/>
        </w:rPr>
      </w:pPr>
      <w:r>
        <w:rPr>
          <w:rFonts w:ascii="宋体" w:hAnsi="宋体" w:eastAsia="宋体" w:cs="宋体"/>
          <w:spacing w:val="-1"/>
          <w:sz w:val="24"/>
          <w:szCs w:val="24"/>
        </w:rPr>
        <w:t>除非有特殊说明，本报告主要描述202</w:t>
      </w:r>
      <w:r>
        <w:rPr>
          <w:rFonts w:hint="eastAsia" w:ascii="宋体" w:hAnsi="宋体" w:eastAsia="宋体" w:cs="宋体"/>
          <w:spacing w:val="-1"/>
          <w:sz w:val="24"/>
          <w:szCs w:val="24"/>
          <w:lang w:val="en-US" w:eastAsia="zh-CN"/>
        </w:rPr>
        <w:t>4</w:t>
      </w:r>
      <w:r>
        <w:rPr>
          <w:rFonts w:ascii="宋体" w:hAnsi="宋体" w:eastAsia="宋体" w:cs="宋体"/>
          <w:spacing w:val="-1"/>
          <w:sz w:val="24"/>
          <w:szCs w:val="24"/>
        </w:rPr>
        <w:t>年1</w:t>
      </w:r>
      <w:r>
        <w:rPr>
          <w:rFonts w:ascii="宋体" w:hAnsi="宋体" w:eastAsia="宋体" w:cs="宋体"/>
          <w:spacing w:val="-2"/>
          <w:sz w:val="24"/>
          <w:szCs w:val="24"/>
        </w:rPr>
        <w:t>月1日至202</w:t>
      </w:r>
      <w:r>
        <w:rPr>
          <w:rFonts w:hint="eastAsia" w:ascii="宋体" w:hAnsi="宋体" w:eastAsia="宋体" w:cs="宋体"/>
          <w:spacing w:val="-2"/>
          <w:sz w:val="24"/>
          <w:szCs w:val="24"/>
          <w:lang w:val="en-US" w:eastAsia="zh-CN"/>
        </w:rPr>
        <w:t>4</w:t>
      </w:r>
      <w:r>
        <w:rPr>
          <w:rFonts w:ascii="宋体" w:hAnsi="宋体" w:eastAsia="宋体" w:cs="宋体"/>
          <w:spacing w:val="-2"/>
          <w:sz w:val="24"/>
          <w:szCs w:val="24"/>
        </w:rPr>
        <w:t>年12月31日期间，</w:t>
      </w:r>
      <w:r>
        <w:rPr>
          <w:rFonts w:hint="eastAsia" w:ascii="宋体" w:hAnsi="宋体" w:eastAsia="宋体" w:cs="宋体"/>
          <w:spacing w:val="-3"/>
          <w:sz w:val="24"/>
          <w:szCs w:val="24"/>
          <w:lang w:val="en-US" w:eastAsia="zh-CN"/>
        </w:rPr>
        <w:t>常州理工科技股份有限公司</w:t>
      </w:r>
      <w:r>
        <w:rPr>
          <w:rFonts w:ascii="宋体" w:hAnsi="宋体" w:eastAsia="宋体" w:cs="宋体"/>
          <w:spacing w:val="-3"/>
          <w:sz w:val="24"/>
          <w:szCs w:val="24"/>
        </w:rPr>
        <w:t>在公司运营、内控管理、发展规划、供应链、人才建</w:t>
      </w:r>
      <w:r>
        <w:rPr>
          <w:rFonts w:ascii="宋体" w:hAnsi="宋体" w:eastAsia="宋体" w:cs="宋体"/>
          <w:spacing w:val="-1"/>
          <w:sz w:val="24"/>
          <w:szCs w:val="24"/>
        </w:rPr>
        <w:t>设等方面的工作，报告内容涵盖了公司摩托车制造在营业务。</w:t>
      </w:r>
    </w:p>
    <w:p w14:paraId="1421E473">
      <w:pPr>
        <w:pStyle w:val="4"/>
        <w:keepNext w:val="0"/>
        <w:keepLines w:val="0"/>
        <w:pageBreakBefore w:val="0"/>
        <w:widowControl/>
        <w:kinsoku/>
        <w:wordWrap/>
        <w:overflowPunct/>
        <w:topLinePunct w:val="0"/>
        <w:autoSpaceDE w:val="0"/>
        <w:autoSpaceDN w:val="0"/>
        <w:bidi w:val="0"/>
        <w:adjustRightInd w:val="0"/>
        <w:snapToGrid w:val="0"/>
        <w:spacing w:line="345" w:lineRule="auto"/>
        <w:jc w:val="both"/>
        <w:textAlignment w:val="baseline"/>
      </w:pPr>
    </w:p>
    <w:p w14:paraId="20B0EEBE">
      <w:pPr>
        <w:pStyle w:val="5"/>
      </w:pPr>
    </w:p>
    <w:p w14:paraId="2B8D9976">
      <w:pPr>
        <w:keepNext w:val="0"/>
        <w:keepLines w:val="0"/>
        <w:pageBreakBefore w:val="0"/>
        <w:widowControl/>
        <w:kinsoku/>
        <w:wordWrap/>
        <w:overflowPunct/>
        <w:topLinePunct w:val="0"/>
        <w:autoSpaceDE w:val="0"/>
        <w:autoSpaceDN w:val="0"/>
        <w:bidi w:val="0"/>
        <w:adjustRightInd w:val="0"/>
        <w:snapToGrid w:val="0"/>
        <w:spacing w:line="360" w:lineRule="auto"/>
        <w:ind w:left="0"/>
        <w:jc w:val="both"/>
        <w:textAlignment w:val="baseline"/>
        <w:outlineLvl w:val="9"/>
        <w:rPr>
          <w:rFonts w:ascii="宋体" w:hAnsi="宋体" w:eastAsia="宋体" w:cs="宋体"/>
          <w:spacing w:val="-2"/>
          <w:sz w:val="24"/>
          <w:szCs w:val="24"/>
        </w:rPr>
      </w:pPr>
      <w:r>
        <w:rPr>
          <w:rFonts w:hint="eastAsia" w:ascii="宋体" w:hAnsi="宋体" w:eastAsia="宋体" w:cs="宋体"/>
          <w:spacing w:val="-3"/>
          <w:sz w:val="24"/>
          <w:szCs w:val="24"/>
          <w:lang w:val="en-US" w:eastAsia="zh-CN"/>
        </w:rPr>
        <w:t>常州理工科技股份有限公司</w:t>
      </w:r>
    </w:p>
    <w:p w14:paraId="5B9DCB7E">
      <w:pPr>
        <w:pStyle w:val="4"/>
        <w:keepNext w:val="0"/>
        <w:keepLines w:val="0"/>
        <w:pageBreakBefore w:val="0"/>
        <w:widowControl/>
        <w:kinsoku w:val="0"/>
        <w:wordWrap/>
        <w:overflowPunct/>
        <w:topLinePunct w:val="0"/>
        <w:autoSpaceDE w:val="0"/>
        <w:autoSpaceDN w:val="0"/>
        <w:bidi w:val="0"/>
        <w:adjustRightInd w:val="0"/>
        <w:snapToGrid w:val="0"/>
        <w:spacing w:line="360" w:lineRule="auto"/>
        <w:ind w:left="0"/>
        <w:textAlignment w:val="baseline"/>
      </w:pPr>
      <w:r>
        <w:rPr>
          <w:rFonts w:hint="eastAsia" w:ascii="仿宋_GB2312" w:hAnsi="Times New Roman" w:eastAsia="仿宋_GB2312"/>
          <w:kern w:val="0"/>
          <w:sz w:val="24"/>
          <w:szCs w:val="20"/>
        </w:rPr>
        <w:t>常州市新北区东港二路33号</w:t>
      </w:r>
    </w:p>
    <w:p w14:paraId="2E40FA8E">
      <w:pPr>
        <w:keepNext w:val="0"/>
        <w:keepLines w:val="0"/>
        <w:pageBreakBefore w:val="0"/>
        <w:widowControl/>
        <w:kinsoku/>
        <w:wordWrap/>
        <w:overflowPunct/>
        <w:topLinePunct w:val="0"/>
        <w:autoSpaceDE w:val="0"/>
        <w:autoSpaceDN w:val="0"/>
        <w:bidi w:val="0"/>
        <w:adjustRightInd w:val="0"/>
        <w:snapToGrid w:val="0"/>
        <w:spacing w:line="360" w:lineRule="auto"/>
        <w:ind w:left="0"/>
        <w:jc w:val="both"/>
        <w:textAlignment w:val="baseline"/>
        <w:outlineLvl w:val="9"/>
        <w:rPr>
          <w:rFonts w:ascii="宋体" w:hAnsi="宋体" w:eastAsia="宋体" w:cs="宋体"/>
          <w:sz w:val="24"/>
          <w:szCs w:val="24"/>
        </w:rPr>
      </w:pPr>
      <w:r>
        <w:rPr>
          <w:rFonts w:ascii="宋体" w:hAnsi="宋体" w:eastAsia="宋体" w:cs="宋体"/>
          <w:spacing w:val="-3"/>
          <w:sz w:val="24"/>
          <w:szCs w:val="24"/>
        </w:rPr>
        <w:t>邮政编码：213000</w:t>
      </w:r>
    </w:p>
    <w:p w14:paraId="49CB01B6">
      <w:pPr>
        <w:keepNext w:val="0"/>
        <w:keepLines w:val="0"/>
        <w:pageBreakBefore w:val="0"/>
        <w:widowControl/>
        <w:kinsoku/>
        <w:wordWrap/>
        <w:overflowPunct/>
        <w:topLinePunct w:val="0"/>
        <w:autoSpaceDE w:val="0"/>
        <w:autoSpaceDN w:val="0"/>
        <w:bidi w:val="0"/>
        <w:adjustRightInd w:val="0"/>
        <w:snapToGrid w:val="0"/>
        <w:spacing w:line="360" w:lineRule="auto"/>
        <w:ind w:left="0"/>
        <w:jc w:val="both"/>
        <w:textAlignment w:val="baseline"/>
        <w:outlineLvl w:val="9"/>
        <w:rPr>
          <w:rFonts w:ascii="宋体" w:hAnsi="宋体" w:eastAsia="宋体" w:cs="宋体"/>
          <w:spacing w:val="-3"/>
          <w:sz w:val="24"/>
          <w:szCs w:val="24"/>
        </w:rPr>
      </w:pPr>
      <w:r>
        <w:rPr>
          <w:rFonts w:ascii="宋体" w:hAnsi="宋体" w:eastAsia="宋体" w:cs="宋体"/>
          <w:spacing w:val="-3"/>
          <w:sz w:val="24"/>
          <w:szCs w:val="24"/>
        </w:rPr>
        <w:t>电话：</w:t>
      </w:r>
      <w:r>
        <w:rPr>
          <w:rFonts w:hint="eastAsia" w:ascii="宋体" w:hAnsi="宋体" w:eastAsia="宋体" w:cs="宋体"/>
          <w:spacing w:val="-3"/>
          <w:sz w:val="24"/>
          <w:szCs w:val="24"/>
          <w:lang w:val="en-US" w:eastAsia="zh-CN"/>
        </w:rPr>
        <w:t>139 2109 0593</w:t>
      </w:r>
    </w:p>
    <w:p w14:paraId="03B31C47">
      <w:pPr>
        <w:keepNext w:val="0"/>
        <w:keepLines w:val="0"/>
        <w:pageBreakBefore w:val="0"/>
        <w:widowControl/>
        <w:kinsoku/>
        <w:wordWrap/>
        <w:overflowPunct/>
        <w:topLinePunct w:val="0"/>
        <w:autoSpaceDE w:val="0"/>
        <w:autoSpaceDN w:val="0"/>
        <w:bidi w:val="0"/>
        <w:adjustRightInd w:val="0"/>
        <w:snapToGrid w:val="0"/>
        <w:spacing w:line="360" w:lineRule="auto"/>
        <w:ind w:left="0"/>
        <w:jc w:val="both"/>
        <w:textAlignment w:val="baseline"/>
        <w:rPr>
          <w:rFonts w:ascii="宋体" w:hAnsi="宋体" w:eastAsia="宋体" w:cs="宋体"/>
          <w:sz w:val="24"/>
          <w:szCs w:val="24"/>
        </w:rPr>
        <w:sectPr>
          <w:pgSz w:w="11906" w:h="16839"/>
          <w:pgMar w:top="1431" w:right="1785" w:bottom="0" w:left="1785" w:header="0" w:footer="0" w:gutter="0"/>
          <w:cols w:space="720" w:num="1"/>
        </w:sectPr>
      </w:pPr>
      <w:r>
        <w:rPr>
          <w:rFonts w:ascii="宋体" w:hAnsi="宋体" w:eastAsia="宋体" w:cs="宋体"/>
          <w:spacing w:val="-2"/>
          <w:sz w:val="24"/>
          <w:szCs w:val="24"/>
        </w:rPr>
        <w:t>电子邮件：</w:t>
      </w:r>
      <w:r>
        <w:rPr>
          <w:rFonts w:hint="eastAsia" w:ascii="宋体" w:hAnsi="宋体" w:eastAsia="宋体" w:cs="宋体"/>
          <w:sz w:val="24"/>
          <w:szCs w:val="24"/>
        </w:rPr>
        <w:t>2044301734@qq.com</w:t>
      </w:r>
    </w:p>
    <w:p w14:paraId="11925254">
      <w:pPr>
        <w:pStyle w:val="4"/>
        <w:keepNext w:val="0"/>
        <w:keepLines w:val="0"/>
        <w:pageBreakBefore w:val="0"/>
        <w:widowControl/>
        <w:kinsoku/>
        <w:wordWrap/>
        <w:overflowPunct/>
        <w:topLinePunct w:val="0"/>
        <w:autoSpaceDE w:val="0"/>
        <w:autoSpaceDN w:val="0"/>
        <w:bidi w:val="0"/>
        <w:adjustRightInd w:val="0"/>
        <w:snapToGrid w:val="0"/>
        <w:spacing w:line="321" w:lineRule="auto"/>
        <w:jc w:val="both"/>
        <w:textAlignment w:val="baseline"/>
      </w:pPr>
    </w:p>
    <w:sdt>
      <w:sdtPr>
        <w:rPr>
          <w:rFonts w:ascii="宋体" w:hAnsi="宋体" w:eastAsia="宋体" w:cs="Arial"/>
          <w:b/>
          <w:bCs/>
          <w:snapToGrid w:val="0"/>
          <w:color w:val="000000"/>
          <w:kern w:val="0"/>
          <w:sz w:val="32"/>
          <w:szCs w:val="32"/>
          <w:lang w:val="en-US" w:eastAsia="en-US" w:bidi="ar-SA"/>
        </w:rPr>
        <w:id w:val="147470593"/>
        <w15:color w:val="DBDBDB"/>
        <w:docPartObj>
          <w:docPartGallery w:val="Table of Contents"/>
          <w:docPartUnique/>
        </w:docPartObj>
      </w:sdtPr>
      <w:sdtEndPr>
        <w:rPr>
          <w:rFonts w:ascii="Times New Roman" w:hAnsi="Times New Roman" w:eastAsia="Times New Roman" w:cs="Times New Roman"/>
          <w:b/>
          <w:bCs/>
          <w:snapToGrid w:val="0"/>
          <w:color w:val="000000"/>
          <w:kern w:val="0"/>
          <w:sz w:val="21"/>
          <w:szCs w:val="20"/>
          <w:lang w:val="en-US" w:eastAsia="en-US" w:bidi="ar-SA"/>
        </w:rPr>
      </w:sdtEndPr>
      <w:sdtContent>
        <w:p w14:paraId="391FBDDB">
          <w:pPr>
            <w:keepNext w:val="0"/>
            <w:keepLines w:val="0"/>
            <w:pageBreakBefore w:val="0"/>
            <w:widowControl/>
            <w:kinsoku/>
            <w:wordWrap/>
            <w:overflowPunct/>
            <w:topLinePunct w:val="0"/>
            <w:autoSpaceDE w:val="0"/>
            <w:autoSpaceDN w:val="0"/>
            <w:bidi w:val="0"/>
            <w:adjustRightInd w:val="0"/>
            <w:snapToGrid w:val="0"/>
            <w:spacing w:before="0" w:beforeLines="0" w:after="0" w:afterLines="0" w:line="240" w:lineRule="auto"/>
            <w:ind w:left="0" w:leftChars="0" w:right="0" w:rightChars="0" w:firstLine="0" w:firstLineChars="0"/>
            <w:jc w:val="center"/>
            <w:textAlignment w:val="baseline"/>
            <w:rPr>
              <w:b/>
              <w:bCs/>
              <w:sz w:val="32"/>
              <w:szCs w:val="32"/>
            </w:rPr>
          </w:pPr>
          <w:r>
            <w:rPr>
              <w:rFonts w:ascii="宋体" w:hAnsi="宋体" w:eastAsia="宋体"/>
              <w:b/>
              <w:bCs/>
              <w:sz w:val="32"/>
              <w:szCs w:val="32"/>
            </w:rPr>
            <w:t>目录</w:t>
          </w:r>
        </w:p>
        <w:p w14:paraId="4B9BD90B">
          <w:pPr>
            <w:pStyle w:val="6"/>
            <w:tabs>
              <w:tab w:val="right" w:leader="dot" w:pos="8336"/>
            </w:tabs>
          </w:pPr>
          <w:r>
            <w:rPr>
              <w:rFonts w:ascii="Times New Roman" w:hAnsi="Times New Roman" w:eastAsia="Times New Roman" w:cs="Times New Roman"/>
              <w:sz w:val="20"/>
              <w:szCs w:val="20"/>
            </w:rPr>
            <w:fldChar w:fldCharType="begin"/>
          </w:r>
          <w:r>
            <w:rPr>
              <w:rFonts w:ascii="Times New Roman" w:hAnsi="Times New Roman" w:eastAsia="Times New Roman" w:cs="Times New Roman"/>
              <w:sz w:val="20"/>
              <w:szCs w:val="20"/>
            </w:rPr>
            <w:instrText xml:space="preserve">TOC \o "1-3" \h \u </w:instrText>
          </w:r>
          <w:r>
            <w:rPr>
              <w:rFonts w:ascii="Times New Roman" w:hAnsi="Times New Roman" w:eastAsia="Times New Roman" w:cs="Times New Roman"/>
              <w:sz w:val="20"/>
              <w:szCs w:val="20"/>
            </w:rPr>
            <w:fldChar w:fldCharType="separate"/>
          </w: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_Toc9457 </w:instrText>
          </w:r>
          <w:r>
            <w:rPr>
              <w:rFonts w:ascii="Times New Roman" w:hAnsi="Times New Roman" w:eastAsia="Times New Roman" w:cs="Times New Roman"/>
              <w:szCs w:val="20"/>
            </w:rPr>
            <w:fldChar w:fldCharType="separate"/>
          </w:r>
          <w:r>
            <w:rPr>
              <w:rFonts w:ascii="黑体" w:hAnsi="黑体" w:eastAsia="黑体" w:cs="黑体"/>
              <w:spacing w:val="6"/>
              <w:szCs w:val="31"/>
              <w14:textOutline w14:w="5793" w14:cap="sq" w14:cmpd="sng">
                <w14:solidFill>
                  <w14:srgbClr w14:val="000000"/>
                </w14:solidFill>
                <w14:prstDash w14:val="solid"/>
                <w14:bevel/>
              </w14:textOutline>
            </w:rPr>
            <w:t>一、公司简介</w:t>
          </w:r>
          <w:r>
            <w:tab/>
          </w:r>
          <w:r>
            <w:fldChar w:fldCharType="begin"/>
          </w:r>
          <w:r>
            <w:instrText xml:space="preserve"> PAGEREF _Toc9457 \h </w:instrText>
          </w:r>
          <w:r>
            <w:fldChar w:fldCharType="separate"/>
          </w:r>
          <w:r>
            <w:t>4</w:t>
          </w:r>
          <w:r>
            <w:fldChar w:fldCharType="end"/>
          </w:r>
          <w:r>
            <w:rPr>
              <w:rFonts w:ascii="Times New Roman" w:hAnsi="Times New Roman" w:eastAsia="Times New Roman" w:cs="Times New Roman"/>
              <w:szCs w:val="20"/>
            </w:rPr>
            <w:fldChar w:fldCharType="end"/>
          </w:r>
        </w:p>
        <w:p w14:paraId="7F979C8F">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_Toc20845 </w:instrText>
          </w:r>
          <w:r>
            <w:rPr>
              <w:rFonts w:ascii="Times New Roman" w:hAnsi="Times New Roman" w:eastAsia="Times New Roman" w:cs="Times New Roman"/>
              <w:szCs w:val="20"/>
            </w:rPr>
            <w:fldChar w:fldCharType="separate"/>
          </w:r>
          <w:r>
            <w:rPr>
              <w:rFonts w:ascii="宋体" w:hAnsi="宋体" w:eastAsia="宋体" w:cs="宋体"/>
              <w:spacing w:val="-2"/>
              <w:szCs w:val="28"/>
              <w14:textOutline w14:w="5103" w14:cap="sq" w14:cmpd="sng">
                <w14:solidFill>
                  <w14:srgbClr w14:val="000000"/>
                </w14:solidFill>
                <w14:prstDash w14:val="solid"/>
                <w14:bevel/>
              </w14:textOutline>
            </w:rPr>
            <w:t>二、经营状况</w:t>
          </w:r>
          <w:r>
            <w:tab/>
          </w:r>
          <w:r>
            <w:fldChar w:fldCharType="begin"/>
          </w:r>
          <w:r>
            <w:instrText xml:space="preserve"> PAGEREF _Toc20845 \h </w:instrText>
          </w:r>
          <w:r>
            <w:fldChar w:fldCharType="separate"/>
          </w:r>
          <w:r>
            <w:t>5</w:t>
          </w:r>
          <w:r>
            <w:fldChar w:fldCharType="end"/>
          </w:r>
          <w:r>
            <w:rPr>
              <w:rFonts w:ascii="Times New Roman" w:hAnsi="Times New Roman" w:eastAsia="Times New Roman" w:cs="Times New Roman"/>
              <w:szCs w:val="20"/>
            </w:rPr>
            <w:fldChar w:fldCharType="end"/>
          </w:r>
        </w:p>
        <w:p w14:paraId="606D3819">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_Toc26382 </w:instrText>
          </w:r>
          <w:r>
            <w:rPr>
              <w:rFonts w:ascii="Times New Roman" w:hAnsi="Times New Roman" w:eastAsia="Times New Roman" w:cs="Times New Roman"/>
              <w:szCs w:val="20"/>
            </w:rPr>
            <w:fldChar w:fldCharType="separate"/>
          </w:r>
          <w:r>
            <w:rPr>
              <w:rFonts w:ascii="宋体" w:hAnsi="宋体" w:eastAsia="宋体" w:cs="宋体"/>
              <w:spacing w:val="6"/>
              <w:szCs w:val="28"/>
              <w14:textOutline w14:w="5103" w14:cap="sq" w14:cmpd="sng">
                <w14:solidFill>
                  <w14:srgbClr w14:val="000000"/>
                </w14:solidFill>
                <w14:prstDash w14:val="solid"/>
                <w14:bevel/>
              </w14:textOutline>
            </w:rPr>
            <w:t>三、组织架构图</w:t>
          </w:r>
          <w:r>
            <w:tab/>
          </w:r>
          <w:r>
            <w:fldChar w:fldCharType="begin"/>
          </w:r>
          <w:r>
            <w:instrText xml:space="preserve"> PAGEREF _Toc26382 \h </w:instrText>
          </w:r>
          <w:r>
            <w:fldChar w:fldCharType="separate"/>
          </w:r>
          <w:r>
            <w:t>5</w:t>
          </w:r>
          <w:r>
            <w:fldChar w:fldCharType="end"/>
          </w:r>
          <w:r>
            <w:rPr>
              <w:rFonts w:ascii="Times New Roman" w:hAnsi="Times New Roman" w:eastAsia="Times New Roman" w:cs="Times New Roman"/>
              <w:szCs w:val="20"/>
            </w:rPr>
            <w:fldChar w:fldCharType="end"/>
          </w:r>
        </w:p>
        <w:p w14:paraId="5B076B4F">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_Toc2781 </w:instrText>
          </w:r>
          <w:r>
            <w:rPr>
              <w:rFonts w:ascii="Times New Roman" w:hAnsi="Times New Roman" w:eastAsia="Times New Roman" w:cs="Times New Roman"/>
              <w:szCs w:val="20"/>
            </w:rPr>
            <w:fldChar w:fldCharType="separate"/>
          </w:r>
          <w:r>
            <w:rPr>
              <w:rFonts w:hint="eastAsia" w:ascii="宋体" w:hAnsi="宋体" w:eastAsia="宋体" w:cs="宋体"/>
              <w:spacing w:val="-5"/>
              <w:szCs w:val="28"/>
              <w:lang w:val="en-US" w:eastAsia="zh-CN"/>
              <w14:textOutline w14:w="5103" w14:cap="sq" w14:cmpd="sng">
                <w14:solidFill>
                  <w14:srgbClr w14:val="000000"/>
                </w14:solidFill>
                <w14:prstDash w14:val="solid"/>
                <w14:bevel/>
              </w14:textOutline>
            </w:rPr>
            <w:t>四、</w:t>
          </w:r>
          <w:r>
            <w:rPr>
              <w:rFonts w:ascii="宋体" w:hAnsi="宋体" w:eastAsia="宋体" w:cs="宋体"/>
              <w:spacing w:val="-5"/>
              <w:szCs w:val="28"/>
              <w14:textOutline w14:w="5103" w14:cap="sq" w14:cmpd="sng">
                <w14:solidFill>
                  <w14:srgbClr w14:val="000000"/>
                </w14:solidFill>
                <w14:prstDash w14:val="solid"/>
                <w14:bevel/>
              </w14:textOutline>
            </w:rPr>
            <w:t>技术创新</w:t>
          </w:r>
          <w:r>
            <w:tab/>
          </w:r>
          <w:r>
            <w:fldChar w:fldCharType="begin"/>
          </w:r>
          <w:r>
            <w:instrText xml:space="preserve"> PAGEREF _Toc2781 \h </w:instrText>
          </w:r>
          <w:r>
            <w:fldChar w:fldCharType="separate"/>
          </w:r>
          <w:r>
            <w:t>5</w:t>
          </w:r>
          <w:r>
            <w:fldChar w:fldCharType="end"/>
          </w:r>
          <w:r>
            <w:rPr>
              <w:rFonts w:ascii="Times New Roman" w:hAnsi="Times New Roman" w:eastAsia="Times New Roman" w:cs="Times New Roman"/>
              <w:szCs w:val="20"/>
            </w:rPr>
            <w:fldChar w:fldCharType="end"/>
          </w:r>
        </w:p>
        <w:p w14:paraId="7B8CD335">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_Toc3979 </w:instrText>
          </w:r>
          <w:r>
            <w:rPr>
              <w:rFonts w:ascii="Times New Roman" w:hAnsi="Times New Roman" w:eastAsia="Times New Roman" w:cs="Times New Roman"/>
              <w:szCs w:val="20"/>
            </w:rPr>
            <w:fldChar w:fldCharType="separate"/>
          </w:r>
          <w:r>
            <w:rPr>
              <w:rFonts w:ascii="宋体" w:hAnsi="宋体" w:eastAsia="宋体" w:cs="宋体"/>
              <w:snapToGrid w:val="0"/>
              <w:spacing w:val="-5"/>
              <w:kern w:val="0"/>
              <w:szCs w:val="28"/>
              <w:lang w:val="en-US" w:eastAsia="en-US" w:bidi="ar-SA"/>
              <w14:textOutline w14:w="5103" w14:cap="sq" w14:cmpd="sng">
                <w14:solidFill>
                  <w14:srgbClr w14:val="000000"/>
                </w14:solidFill>
                <w14:prstDash w14:val="solid"/>
                <w14:bevel/>
              </w14:textOutline>
            </w:rPr>
            <w:t>1、技术管理工作</w:t>
          </w:r>
          <w:r>
            <w:tab/>
          </w:r>
          <w:r>
            <w:fldChar w:fldCharType="begin"/>
          </w:r>
          <w:r>
            <w:instrText xml:space="preserve"> PAGEREF _Toc3979 \h </w:instrText>
          </w:r>
          <w:r>
            <w:fldChar w:fldCharType="separate"/>
          </w:r>
          <w:r>
            <w:t>5</w:t>
          </w:r>
          <w:r>
            <w:fldChar w:fldCharType="end"/>
          </w:r>
          <w:r>
            <w:rPr>
              <w:rFonts w:ascii="Times New Roman" w:hAnsi="Times New Roman" w:eastAsia="Times New Roman" w:cs="Times New Roman"/>
              <w:szCs w:val="20"/>
            </w:rPr>
            <w:fldChar w:fldCharType="end"/>
          </w:r>
        </w:p>
        <w:p w14:paraId="008FAEE5">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_Toc5792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5"/>
              <w:szCs w:val="31"/>
            </w:rPr>
            <w:t>2</w:t>
          </w:r>
          <w:r>
            <w:rPr>
              <w:rFonts w:ascii="宋体" w:hAnsi="宋体" w:eastAsia="宋体" w:cs="宋体"/>
              <w:spacing w:val="-5"/>
              <w:szCs w:val="31"/>
              <w14:textOutline w14:w="5793" w14:cap="sq" w14:cmpd="sng">
                <w14:solidFill>
                  <w14:srgbClr w14:val="000000"/>
                </w14:solidFill>
                <w14:prstDash w14:val="solid"/>
                <w14:bevel/>
              </w14:textOutline>
            </w:rPr>
            <w:t>、</w:t>
          </w:r>
          <w:r>
            <w:rPr>
              <w:rFonts w:ascii="宋体" w:hAnsi="宋体" w:eastAsia="宋体" w:cs="宋体"/>
              <w:spacing w:val="-5"/>
              <w:szCs w:val="28"/>
              <w14:textOutline w14:w="5103" w14:cap="sq" w14:cmpd="sng">
                <w14:solidFill>
                  <w14:srgbClr w14:val="000000"/>
                </w14:solidFill>
                <w14:prstDash w14:val="solid"/>
                <w14:bevel/>
              </w14:textOutline>
            </w:rPr>
            <w:t>研发团队建立</w:t>
          </w:r>
          <w:r>
            <w:tab/>
          </w:r>
          <w:r>
            <w:fldChar w:fldCharType="begin"/>
          </w:r>
          <w:r>
            <w:instrText xml:space="preserve"> PAGEREF _Toc5792 \h </w:instrText>
          </w:r>
          <w:r>
            <w:fldChar w:fldCharType="separate"/>
          </w:r>
          <w:r>
            <w:t>8</w:t>
          </w:r>
          <w:r>
            <w:fldChar w:fldCharType="end"/>
          </w:r>
          <w:r>
            <w:rPr>
              <w:rFonts w:ascii="Times New Roman" w:hAnsi="Times New Roman" w:eastAsia="Times New Roman" w:cs="Times New Roman"/>
              <w:szCs w:val="20"/>
            </w:rPr>
            <w:fldChar w:fldCharType="end"/>
          </w:r>
        </w:p>
        <w:p w14:paraId="731591CC">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_Toc20914 </w:instrText>
          </w:r>
          <w:r>
            <w:rPr>
              <w:rFonts w:ascii="Times New Roman" w:hAnsi="Times New Roman" w:eastAsia="Times New Roman" w:cs="Times New Roman"/>
              <w:szCs w:val="20"/>
            </w:rPr>
            <w:fldChar w:fldCharType="separate"/>
          </w:r>
          <w:r>
            <w:rPr>
              <w:rFonts w:ascii="Times New Roman" w:hAnsi="Times New Roman" w:eastAsia="Times New Roman" w:cs="Times New Roman"/>
              <w:bCs/>
              <w:spacing w:val="-6"/>
              <w:szCs w:val="31"/>
            </w:rPr>
            <w:t>3</w:t>
          </w:r>
          <w:r>
            <w:rPr>
              <w:rFonts w:ascii="宋体" w:hAnsi="宋体" w:eastAsia="宋体" w:cs="宋体"/>
              <w:spacing w:val="-6"/>
              <w:szCs w:val="31"/>
              <w14:textOutline w14:w="5793" w14:cap="sq" w14:cmpd="sng">
                <w14:solidFill>
                  <w14:srgbClr w14:val="000000"/>
                </w14:solidFill>
                <w14:prstDash w14:val="solid"/>
                <w14:bevel/>
              </w14:textOutline>
            </w:rPr>
            <w:t>、</w:t>
          </w:r>
          <w:r>
            <w:rPr>
              <w:rFonts w:ascii="宋体" w:hAnsi="宋体" w:eastAsia="宋体" w:cs="宋体"/>
              <w:spacing w:val="-6"/>
              <w:szCs w:val="28"/>
              <w14:textOutline w14:w="5103" w14:cap="sq" w14:cmpd="sng">
                <w14:solidFill>
                  <w14:srgbClr w14:val="000000"/>
                </w14:solidFill>
                <w14:prstDash w14:val="solid"/>
                <w14:bevel/>
              </w14:textOutline>
            </w:rPr>
            <w:t>知识产权工作</w:t>
          </w:r>
          <w:r>
            <w:tab/>
          </w:r>
          <w:r>
            <w:fldChar w:fldCharType="begin"/>
          </w:r>
          <w:r>
            <w:instrText xml:space="preserve"> PAGEREF _Toc20914 \h </w:instrText>
          </w:r>
          <w:r>
            <w:fldChar w:fldCharType="separate"/>
          </w:r>
          <w:r>
            <w:t>8</w:t>
          </w:r>
          <w:r>
            <w:fldChar w:fldCharType="end"/>
          </w:r>
          <w:r>
            <w:rPr>
              <w:rFonts w:ascii="Times New Roman" w:hAnsi="Times New Roman" w:eastAsia="Times New Roman" w:cs="Times New Roman"/>
              <w:szCs w:val="20"/>
            </w:rPr>
            <w:fldChar w:fldCharType="end"/>
          </w:r>
        </w:p>
        <w:p w14:paraId="3FDAA822">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_Toc16509 </w:instrText>
          </w:r>
          <w:r>
            <w:rPr>
              <w:rFonts w:ascii="Times New Roman" w:hAnsi="Times New Roman" w:eastAsia="Times New Roman" w:cs="Times New Roman"/>
              <w:szCs w:val="20"/>
            </w:rPr>
            <w:fldChar w:fldCharType="separate"/>
          </w:r>
          <w:r>
            <w:rPr>
              <w:rFonts w:ascii="宋体" w:hAnsi="宋体" w:eastAsia="宋体" w:cs="宋体"/>
              <w:spacing w:val="-2"/>
              <w:szCs w:val="28"/>
              <w14:textOutline w14:w="5103" w14:cap="sq" w14:cmpd="sng">
                <w14:solidFill>
                  <w14:srgbClr w14:val="000000"/>
                </w14:solidFill>
                <w14:prstDash w14:val="solid"/>
                <w14:bevel/>
              </w14:textOutline>
            </w:rPr>
            <w:t>五、信用建设</w:t>
          </w:r>
          <w:r>
            <w:tab/>
          </w:r>
          <w:r>
            <w:fldChar w:fldCharType="begin"/>
          </w:r>
          <w:r>
            <w:instrText xml:space="preserve"> PAGEREF _Toc16509 \h </w:instrText>
          </w:r>
          <w:r>
            <w:fldChar w:fldCharType="separate"/>
          </w:r>
          <w:r>
            <w:t>8</w:t>
          </w:r>
          <w:r>
            <w:fldChar w:fldCharType="end"/>
          </w:r>
          <w:r>
            <w:rPr>
              <w:rFonts w:ascii="Times New Roman" w:hAnsi="Times New Roman" w:eastAsia="Times New Roman" w:cs="Times New Roman"/>
              <w:szCs w:val="20"/>
            </w:rPr>
            <w:fldChar w:fldCharType="end"/>
          </w:r>
        </w:p>
        <w:p w14:paraId="044E08D1">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_Toc8519 </w:instrText>
          </w:r>
          <w:r>
            <w:rPr>
              <w:rFonts w:ascii="Times New Roman" w:hAnsi="Times New Roman" w:eastAsia="Times New Roman" w:cs="Times New Roman"/>
              <w:szCs w:val="20"/>
            </w:rPr>
            <w:fldChar w:fldCharType="separate"/>
          </w:r>
          <w:r>
            <w:rPr>
              <w:rFonts w:ascii="宋体" w:hAnsi="宋体" w:eastAsia="宋体" w:cs="宋体"/>
              <w:spacing w:val="-1"/>
              <w:szCs w:val="28"/>
              <w14:textOutline w14:w="5103" w14:cap="sq" w14:cmpd="sng">
                <w14:solidFill>
                  <w14:srgbClr w14:val="000000"/>
                </w14:solidFill>
                <w14:prstDash w14:val="solid"/>
                <w14:bevel/>
              </w14:textOutline>
            </w:rPr>
            <w:t>六、环保节约</w:t>
          </w:r>
          <w:r>
            <w:tab/>
          </w:r>
          <w:r>
            <w:fldChar w:fldCharType="begin"/>
          </w:r>
          <w:r>
            <w:instrText xml:space="preserve"> PAGEREF _Toc8519 \h </w:instrText>
          </w:r>
          <w:r>
            <w:fldChar w:fldCharType="separate"/>
          </w:r>
          <w:r>
            <w:t>9</w:t>
          </w:r>
          <w:r>
            <w:fldChar w:fldCharType="end"/>
          </w:r>
          <w:r>
            <w:rPr>
              <w:rFonts w:ascii="Times New Roman" w:hAnsi="Times New Roman" w:eastAsia="Times New Roman" w:cs="Times New Roman"/>
              <w:szCs w:val="20"/>
            </w:rPr>
            <w:fldChar w:fldCharType="end"/>
          </w:r>
        </w:p>
        <w:p w14:paraId="5B0AC0DE">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_Toc4056 </w:instrText>
          </w:r>
          <w:r>
            <w:rPr>
              <w:rFonts w:ascii="Times New Roman" w:hAnsi="Times New Roman" w:eastAsia="Times New Roman" w:cs="Times New Roman"/>
              <w:szCs w:val="20"/>
            </w:rPr>
            <w:fldChar w:fldCharType="separate"/>
          </w:r>
          <w:r>
            <w:rPr>
              <w:rFonts w:ascii="宋体" w:hAnsi="宋体" w:eastAsia="宋体" w:cs="宋体"/>
              <w:spacing w:val="-5"/>
              <w:szCs w:val="28"/>
              <w14:textOutline w14:w="5103" w14:cap="sq" w14:cmpd="sng">
                <w14:solidFill>
                  <w14:srgbClr w14:val="000000"/>
                </w14:solidFill>
                <w14:prstDash w14:val="solid"/>
                <w14:bevel/>
              </w14:textOutline>
            </w:rPr>
            <w:t>1、环境管理</w:t>
          </w:r>
          <w:r>
            <w:tab/>
          </w:r>
          <w:r>
            <w:fldChar w:fldCharType="begin"/>
          </w:r>
          <w:r>
            <w:instrText xml:space="preserve"> PAGEREF _Toc4056 \h </w:instrText>
          </w:r>
          <w:r>
            <w:fldChar w:fldCharType="separate"/>
          </w:r>
          <w:r>
            <w:t>9</w:t>
          </w:r>
          <w:r>
            <w:fldChar w:fldCharType="end"/>
          </w:r>
          <w:r>
            <w:rPr>
              <w:rFonts w:ascii="Times New Roman" w:hAnsi="Times New Roman" w:eastAsia="Times New Roman" w:cs="Times New Roman"/>
              <w:szCs w:val="20"/>
            </w:rPr>
            <w:fldChar w:fldCharType="end"/>
          </w:r>
        </w:p>
        <w:p w14:paraId="484B2825">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_Toc2059 </w:instrText>
          </w:r>
          <w:r>
            <w:rPr>
              <w:rFonts w:ascii="Times New Roman" w:hAnsi="Times New Roman" w:eastAsia="Times New Roman" w:cs="Times New Roman"/>
              <w:szCs w:val="20"/>
            </w:rPr>
            <w:fldChar w:fldCharType="separate"/>
          </w:r>
          <w:r>
            <w:rPr>
              <w:rFonts w:ascii="宋体" w:hAnsi="宋体" w:eastAsia="宋体" w:cs="宋体"/>
              <w:spacing w:val="-1"/>
              <w:szCs w:val="28"/>
              <w14:textOutline w14:w="5103" w14:cap="sq" w14:cmpd="sng">
                <w14:solidFill>
                  <w14:srgbClr w14:val="000000"/>
                </w14:solidFill>
                <w14:prstDash w14:val="solid"/>
                <w14:bevel/>
              </w14:textOutline>
            </w:rPr>
            <w:t>2、资源节约与综合利用</w:t>
          </w:r>
          <w:r>
            <w:tab/>
          </w:r>
          <w:r>
            <w:fldChar w:fldCharType="begin"/>
          </w:r>
          <w:r>
            <w:instrText xml:space="preserve"> PAGEREF _Toc2059 \h </w:instrText>
          </w:r>
          <w:r>
            <w:fldChar w:fldCharType="separate"/>
          </w:r>
          <w:r>
            <w:t>9</w:t>
          </w:r>
          <w:r>
            <w:fldChar w:fldCharType="end"/>
          </w:r>
          <w:r>
            <w:rPr>
              <w:rFonts w:ascii="Times New Roman" w:hAnsi="Times New Roman" w:eastAsia="Times New Roman" w:cs="Times New Roman"/>
              <w:szCs w:val="20"/>
            </w:rPr>
            <w:fldChar w:fldCharType="end"/>
          </w:r>
        </w:p>
        <w:p w14:paraId="167FEE30">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_Toc12206 </w:instrText>
          </w:r>
          <w:r>
            <w:rPr>
              <w:rFonts w:ascii="Times New Roman" w:hAnsi="Times New Roman" w:eastAsia="Times New Roman" w:cs="Times New Roman"/>
              <w:szCs w:val="20"/>
            </w:rPr>
            <w:fldChar w:fldCharType="separate"/>
          </w:r>
          <w:r>
            <w:rPr>
              <w:rFonts w:ascii="宋体" w:hAnsi="宋体" w:eastAsia="宋体" w:cs="宋体"/>
              <w:spacing w:val="-1"/>
              <w:szCs w:val="28"/>
              <w14:textOutline w14:w="5103" w14:cap="sq" w14:cmpd="sng">
                <w14:solidFill>
                  <w14:srgbClr w14:val="000000"/>
                </w14:solidFill>
                <w14:prstDash w14:val="solid"/>
                <w14:bevel/>
              </w14:textOutline>
            </w:rPr>
            <w:t>七、安全生产</w:t>
          </w:r>
          <w:r>
            <w:tab/>
          </w:r>
          <w:r>
            <w:fldChar w:fldCharType="begin"/>
          </w:r>
          <w:r>
            <w:instrText xml:space="preserve"> PAGEREF _Toc12206 \h </w:instrText>
          </w:r>
          <w:r>
            <w:fldChar w:fldCharType="separate"/>
          </w:r>
          <w:r>
            <w:t>10</w:t>
          </w:r>
          <w:r>
            <w:fldChar w:fldCharType="end"/>
          </w:r>
          <w:r>
            <w:rPr>
              <w:rFonts w:ascii="Times New Roman" w:hAnsi="Times New Roman" w:eastAsia="Times New Roman" w:cs="Times New Roman"/>
              <w:szCs w:val="20"/>
            </w:rPr>
            <w:fldChar w:fldCharType="end"/>
          </w:r>
        </w:p>
        <w:p w14:paraId="32F95E80">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_Toc13374 </w:instrText>
          </w:r>
          <w:r>
            <w:rPr>
              <w:rFonts w:ascii="Times New Roman" w:hAnsi="Times New Roman" w:eastAsia="Times New Roman" w:cs="Times New Roman"/>
              <w:szCs w:val="20"/>
            </w:rPr>
            <w:fldChar w:fldCharType="separate"/>
          </w:r>
          <w:r>
            <w:rPr>
              <w:rFonts w:ascii="宋体" w:hAnsi="宋体" w:eastAsia="宋体" w:cs="宋体"/>
              <w:spacing w:val="-3"/>
              <w:szCs w:val="28"/>
              <w14:textOutline w14:w="5103" w14:cap="sq" w14:cmpd="sng">
                <w14:solidFill>
                  <w14:srgbClr w14:val="000000"/>
                </w14:solidFill>
                <w14:prstDash w14:val="solid"/>
                <w14:bevel/>
              </w14:textOutline>
            </w:rPr>
            <w:t>1、安全生产管理</w:t>
          </w:r>
          <w:r>
            <w:tab/>
          </w:r>
          <w:r>
            <w:fldChar w:fldCharType="begin"/>
          </w:r>
          <w:r>
            <w:instrText xml:space="preserve"> PAGEREF _Toc13374 \h </w:instrText>
          </w:r>
          <w:r>
            <w:fldChar w:fldCharType="separate"/>
          </w:r>
          <w:r>
            <w:t>10</w:t>
          </w:r>
          <w:r>
            <w:fldChar w:fldCharType="end"/>
          </w:r>
          <w:r>
            <w:rPr>
              <w:rFonts w:ascii="Times New Roman" w:hAnsi="Times New Roman" w:eastAsia="Times New Roman" w:cs="Times New Roman"/>
              <w:szCs w:val="20"/>
            </w:rPr>
            <w:fldChar w:fldCharType="end"/>
          </w:r>
        </w:p>
        <w:p w14:paraId="08E5483F">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_Toc28567 </w:instrText>
          </w:r>
          <w:r>
            <w:rPr>
              <w:rFonts w:ascii="Times New Roman" w:hAnsi="Times New Roman" w:eastAsia="Times New Roman" w:cs="Times New Roman"/>
              <w:szCs w:val="20"/>
            </w:rPr>
            <w:fldChar w:fldCharType="separate"/>
          </w:r>
          <w:r>
            <w:rPr>
              <w:rFonts w:ascii="宋体" w:hAnsi="宋体" w:eastAsia="宋体" w:cs="宋体"/>
              <w:spacing w:val="-1"/>
              <w:szCs w:val="28"/>
              <w14:textOutline w14:w="5103" w14:cap="sq" w14:cmpd="sng">
                <w14:solidFill>
                  <w14:srgbClr w14:val="000000"/>
                </w14:solidFill>
                <w14:prstDash w14:val="solid"/>
                <w14:bevel/>
              </w14:textOutline>
            </w:rPr>
            <w:t>2、安全生产投入</w:t>
          </w:r>
          <w:r>
            <w:tab/>
          </w:r>
          <w:r>
            <w:fldChar w:fldCharType="begin"/>
          </w:r>
          <w:r>
            <w:instrText xml:space="preserve"> PAGEREF _Toc28567 \h </w:instrText>
          </w:r>
          <w:r>
            <w:fldChar w:fldCharType="separate"/>
          </w:r>
          <w:r>
            <w:t>10</w:t>
          </w:r>
          <w:r>
            <w:fldChar w:fldCharType="end"/>
          </w:r>
          <w:r>
            <w:rPr>
              <w:rFonts w:ascii="Times New Roman" w:hAnsi="Times New Roman" w:eastAsia="Times New Roman" w:cs="Times New Roman"/>
              <w:szCs w:val="20"/>
            </w:rPr>
            <w:fldChar w:fldCharType="end"/>
          </w:r>
        </w:p>
        <w:p w14:paraId="05F959C4">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_Toc28708 </w:instrText>
          </w:r>
          <w:r>
            <w:rPr>
              <w:rFonts w:ascii="Times New Roman" w:hAnsi="Times New Roman" w:eastAsia="Times New Roman" w:cs="Times New Roman"/>
              <w:szCs w:val="20"/>
            </w:rPr>
            <w:fldChar w:fldCharType="separate"/>
          </w:r>
          <w:r>
            <w:rPr>
              <w:rFonts w:ascii="宋体" w:hAnsi="宋体" w:eastAsia="宋体" w:cs="宋体"/>
              <w:spacing w:val="-1"/>
              <w:szCs w:val="28"/>
              <w14:textOutline w14:w="5103" w14:cap="sq" w14:cmpd="sng">
                <w14:solidFill>
                  <w14:srgbClr w14:val="000000"/>
                </w14:solidFill>
                <w14:prstDash w14:val="solid"/>
                <w14:bevel/>
              </w14:textOutline>
            </w:rPr>
            <w:t>3、安全生产教育和培训</w:t>
          </w:r>
          <w:r>
            <w:tab/>
          </w:r>
          <w:r>
            <w:fldChar w:fldCharType="begin"/>
          </w:r>
          <w:r>
            <w:instrText xml:space="preserve"> PAGEREF _Toc28708 \h </w:instrText>
          </w:r>
          <w:r>
            <w:fldChar w:fldCharType="separate"/>
          </w:r>
          <w:r>
            <w:t>10</w:t>
          </w:r>
          <w:r>
            <w:fldChar w:fldCharType="end"/>
          </w:r>
          <w:r>
            <w:rPr>
              <w:rFonts w:ascii="Times New Roman" w:hAnsi="Times New Roman" w:eastAsia="Times New Roman" w:cs="Times New Roman"/>
              <w:szCs w:val="20"/>
            </w:rPr>
            <w:fldChar w:fldCharType="end"/>
          </w:r>
        </w:p>
        <w:p w14:paraId="6B105D18">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_Toc28067 </w:instrText>
          </w:r>
          <w:r>
            <w:rPr>
              <w:rFonts w:ascii="Times New Roman" w:hAnsi="Times New Roman" w:eastAsia="Times New Roman" w:cs="Times New Roman"/>
              <w:szCs w:val="20"/>
            </w:rPr>
            <w:fldChar w:fldCharType="separate"/>
          </w:r>
          <w:r>
            <w:rPr>
              <w:rFonts w:ascii="宋体" w:hAnsi="宋体" w:eastAsia="宋体" w:cs="宋体"/>
              <w:spacing w:val="-4"/>
              <w:szCs w:val="28"/>
              <w14:textOutline w14:w="5103" w14:cap="sq" w14:cmpd="sng">
                <w14:solidFill>
                  <w14:srgbClr w14:val="000000"/>
                </w14:solidFill>
                <w14:prstDash w14:val="solid"/>
                <w14:bevel/>
              </w14:textOutline>
            </w:rPr>
            <w:t>八、员工</w:t>
          </w:r>
          <w:r>
            <w:tab/>
          </w:r>
          <w:r>
            <w:fldChar w:fldCharType="begin"/>
          </w:r>
          <w:r>
            <w:instrText xml:space="preserve"> PAGEREF _Toc28067 \h </w:instrText>
          </w:r>
          <w:r>
            <w:fldChar w:fldCharType="separate"/>
          </w:r>
          <w:r>
            <w:t>11</w:t>
          </w:r>
          <w:r>
            <w:fldChar w:fldCharType="end"/>
          </w:r>
          <w:r>
            <w:rPr>
              <w:rFonts w:ascii="Times New Roman" w:hAnsi="Times New Roman" w:eastAsia="Times New Roman" w:cs="Times New Roman"/>
              <w:szCs w:val="20"/>
            </w:rPr>
            <w:fldChar w:fldCharType="end"/>
          </w:r>
        </w:p>
        <w:p w14:paraId="2DD77F23">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_Toc29414 </w:instrText>
          </w:r>
          <w:r>
            <w:rPr>
              <w:rFonts w:ascii="Times New Roman" w:hAnsi="Times New Roman" w:eastAsia="Times New Roman" w:cs="Times New Roman"/>
              <w:szCs w:val="20"/>
            </w:rPr>
            <w:fldChar w:fldCharType="separate"/>
          </w:r>
          <w:r>
            <w:rPr>
              <w:rFonts w:ascii="宋体" w:hAnsi="宋体" w:eastAsia="宋体" w:cs="宋体"/>
              <w:spacing w:val="-3"/>
              <w:szCs w:val="28"/>
              <w14:textOutline w14:w="5103" w14:cap="sq" w14:cmpd="sng">
                <w14:solidFill>
                  <w14:srgbClr w14:val="000000"/>
                </w14:solidFill>
                <w14:prstDash w14:val="solid"/>
                <w14:bevel/>
              </w14:textOutline>
            </w:rPr>
            <w:t>1、劳动合同与薪酬</w:t>
          </w:r>
          <w:r>
            <w:tab/>
          </w:r>
          <w:r>
            <w:fldChar w:fldCharType="begin"/>
          </w:r>
          <w:r>
            <w:instrText xml:space="preserve"> PAGEREF _Toc29414 \h </w:instrText>
          </w:r>
          <w:r>
            <w:fldChar w:fldCharType="separate"/>
          </w:r>
          <w:r>
            <w:t>11</w:t>
          </w:r>
          <w:r>
            <w:fldChar w:fldCharType="end"/>
          </w:r>
          <w:r>
            <w:rPr>
              <w:rFonts w:ascii="Times New Roman" w:hAnsi="Times New Roman" w:eastAsia="Times New Roman" w:cs="Times New Roman"/>
              <w:szCs w:val="20"/>
            </w:rPr>
            <w:fldChar w:fldCharType="end"/>
          </w:r>
        </w:p>
        <w:p w14:paraId="761CE545">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_Toc14411 </w:instrText>
          </w:r>
          <w:r>
            <w:rPr>
              <w:rFonts w:ascii="Times New Roman" w:hAnsi="Times New Roman" w:eastAsia="Times New Roman" w:cs="Times New Roman"/>
              <w:szCs w:val="20"/>
            </w:rPr>
            <w:fldChar w:fldCharType="separate"/>
          </w:r>
          <w:r>
            <w:rPr>
              <w:rFonts w:ascii="宋体" w:hAnsi="宋体" w:eastAsia="宋体" w:cs="宋体"/>
              <w:spacing w:val="-2"/>
              <w:szCs w:val="28"/>
              <w14:textOutline w14:w="5103" w14:cap="sq" w14:cmpd="sng">
                <w14:solidFill>
                  <w14:srgbClr w14:val="000000"/>
                </w14:solidFill>
                <w14:prstDash w14:val="solid"/>
                <w14:bevel/>
              </w14:textOutline>
            </w:rPr>
            <w:t>2、社会保障</w:t>
          </w:r>
          <w:r>
            <w:tab/>
          </w:r>
          <w:r>
            <w:fldChar w:fldCharType="begin"/>
          </w:r>
          <w:r>
            <w:instrText xml:space="preserve"> PAGEREF _Toc14411 \h </w:instrText>
          </w:r>
          <w:r>
            <w:fldChar w:fldCharType="separate"/>
          </w:r>
          <w:r>
            <w:t>11</w:t>
          </w:r>
          <w:r>
            <w:fldChar w:fldCharType="end"/>
          </w:r>
          <w:r>
            <w:rPr>
              <w:rFonts w:ascii="Times New Roman" w:hAnsi="Times New Roman" w:eastAsia="Times New Roman" w:cs="Times New Roman"/>
              <w:szCs w:val="20"/>
            </w:rPr>
            <w:fldChar w:fldCharType="end"/>
          </w:r>
        </w:p>
        <w:p w14:paraId="15171C20">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_Toc15683 </w:instrText>
          </w:r>
          <w:r>
            <w:rPr>
              <w:rFonts w:ascii="Times New Roman" w:hAnsi="Times New Roman" w:eastAsia="Times New Roman" w:cs="Times New Roman"/>
              <w:szCs w:val="20"/>
            </w:rPr>
            <w:fldChar w:fldCharType="separate"/>
          </w:r>
          <w:r>
            <w:rPr>
              <w:rFonts w:ascii="宋体" w:hAnsi="宋体" w:eastAsia="宋体" w:cs="宋体"/>
              <w:spacing w:val="-2"/>
              <w:szCs w:val="28"/>
              <w14:textOutline w14:w="5103" w14:cap="sq" w14:cmpd="sng">
                <w14:solidFill>
                  <w14:srgbClr w14:val="000000"/>
                </w14:solidFill>
                <w14:prstDash w14:val="solid"/>
                <w14:bevel/>
              </w14:textOutline>
            </w:rPr>
            <w:t>3、员工福利</w:t>
          </w:r>
          <w:r>
            <w:tab/>
          </w:r>
          <w:r>
            <w:fldChar w:fldCharType="begin"/>
          </w:r>
          <w:r>
            <w:instrText xml:space="preserve"> PAGEREF _Toc15683 \h </w:instrText>
          </w:r>
          <w:r>
            <w:fldChar w:fldCharType="separate"/>
          </w:r>
          <w:r>
            <w:t>11</w:t>
          </w:r>
          <w:r>
            <w:fldChar w:fldCharType="end"/>
          </w:r>
          <w:r>
            <w:rPr>
              <w:rFonts w:ascii="Times New Roman" w:hAnsi="Times New Roman" w:eastAsia="Times New Roman" w:cs="Times New Roman"/>
              <w:szCs w:val="20"/>
            </w:rPr>
            <w:fldChar w:fldCharType="end"/>
          </w:r>
        </w:p>
        <w:p w14:paraId="06F55F28">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_Toc28884 </w:instrText>
          </w:r>
          <w:r>
            <w:rPr>
              <w:rFonts w:ascii="Times New Roman" w:hAnsi="Times New Roman" w:eastAsia="Times New Roman" w:cs="Times New Roman"/>
              <w:szCs w:val="20"/>
            </w:rPr>
            <w:fldChar w:fldCharType="separate"/>
          </w:r>
          <w:r>
            <w:rPr>
              <w:rFonts w:ascii="宋体" w:hAnsi="宋体" w:eastAsia="宋体" w:cs="宋体"/>
              <w:spacing w:val="-1"/>
              <w:szCs w:val="28"/>
              <w14:textOutline w14:w="5103" w14:cap="sq" w14:cmpd="sng">
                <w14:solidFill>
                  <w14:srgbClr w14:val="000000"/>
                </w14:solidFill>
                <w14:prstDash w14:val="solid"/>
                <w14:bevel/>
              </w14:textOutline>
            </w:rPr>
            <w:t>4、职业健康安全</w:t>
          </w:r>
          <w:r>
            <w:tab/>
          </w:r>
          <w:r>
            <w:fldChar w:fldCharType="begin"/>
          </w:r>
          <w:r>
            <w:instrText xml:space="preserve"> PAGEREF _Toc28884 \h </w:instrText>
          </w:r>
          <w:r>
            <w:fldChar w:fldCharType="separate"/>
          </w:r>
          <w:r>
            <w:t>13</w:t>
          </w:r>
          <w:r>
            <w:fldChar w:fldCharType="end"/>
          </w:r>
          <w:r>
            <w:rPr>
              <w:rFonts w:ascii="Times New Roman" w:hAnsi="Times New Roman" w:eastAsia="Times New Roman" w:cs="Times New Roman"/>
              <w:szCs w:val="20"/>
            </w:rPr>
            <w:fldChar w:fldCharType="end"/>
          </w:r>
        </w:p>
        <w:p w14:paraId="28FEA4C9">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_Toc2278 </w:instrText>
          </w:r>
          <w:r>
            <w:rPr>
              <w:rFonts w:ascii="Times New Roman" w:hAnsi="Times New Roman" w:eastAsia="Times New Roman" w:cs="Times New Roman"/>
              <w:szCs w:val="20"/>
            </w:rPr>
            <w:fldChar w:fldCharType="separate"/>
          </w:r>
          <w:r>
            <w:rPr>
              <w:rFonts w:ascii="宋体" w:hAnsi="宋体" w:eastAsia="宋体" w:cs="宋体"/>
              <w:spacing w:val="-2"/>
              <w:szCs w:val="28"/>
              <w14:textOutline w14:w="5103" w14:cap="sq" w14:cmpd="sng">
                <w14:solidFill>
                  <w14:srgbClr w14:val="000000"/>
                </w14:solidFill>
                <w14:prstDash w14:val="solid"/>
                <w14:bevel/>
              </w14:textOutline>
            </w:rPr>
            <w:t>5、民主管理</w:t>
          </w:r>
          <w:r>
            <w:tab/>
          </w:r>
          <w:r>
            <w:fldChar w:fldCharType="begin"/>
          </w:r>
          <w:r>
            <w:instrText xml:space="preserve"> PAGEREF _Toc2278 \h </w:instrText>
          </w:r>
          <w:r>
            <w:fldChar w:fldCharType="separate"/>
          </w:r>
          <w:r>
            <w:t>13</w:t>
          </w:r>
          <w:r>
            <w:fldChar w:fldCharType="end"/>
          </w:r>
          <w:r>
            <w:rPr>
              <w:rFonts w:ascii="Times New Roman" w:hAnsi="Times New Roman" w:eastAsia="Times New Roman" w:cs="Times New Roman"/>
              <w:szCs w:val="20"/>
            </w:rPr>
            <w:fldChar w:fldCharType="end"/>
          </w:r>
        </w:p>
        <w:p w14:paraId="6BC3DF9D">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_Toc31184 </w:instrText>
          </w:r>
          <w:r>
            <w:rPr>
              <w:rFonts w:ascii="Times New Roman" w:hAnsi="Times New Roman" w:eastAsia="Times New Roman" w:cs="Times New Roman"/>
              <w:szCs w:val="20"/>
            </w:rPr>
            <w:fldChar w:fldCharType="separate"/>
          </w:r>
          <w:r>
            <w:rPr>
              <w:rFonts w:ascii="宋体" w:hAnsi="宋体" w:eastAsia="宋体" w:cs="宋体"/>
              <w:spacing w:val="-1"/>
              <w:szCs w:val="28"/>
              <w14:textOutline w14:w="5103" w14:cap="sq" w14:cmpd="sng">
                <w14:solidFill>
                  <w14:srgbClr w14:val="000000"/>
                </w14:solidFill>
                <w14:prstDash w14:val="solid"/>
                <w14:bevel/>
              </w14:textOutline>
            </w:rPr>
            <w:t>6、员工培训和发展</w:t>
          </w:r>
          <w:r>
            <w:tab/>
          </w:r>
          <w:r>
            <w:fldChar w:fldCharType="begin"/>
          </w:r>
          <w:r>
            <w:instrText xml:space="preserve"> PAGEREF _Toc31184 \h </w:instrText>
          </w:r>
          <w:r>
            <w:fldChar w:fldCharType="separate"/>
          </w:r>
          <w:r>
            <w:t>13</w:t>
          </w:r>
          <w:r>
            <w:fldChar w:fldCharType="end"/>
          </w:r>
          <w:r>
            <w:rPr>
              <w:rFonts w:ascii="Times New Roman" w:hAnsi="Times New Roman" w:eastAsia="Times New Roman" w:cs="Times New Roman"/>
              <w:szCs w:val="20"/>
            </w:rPr>
            <w:fldChar w:fldCharType="end"/>
          </w:r>
        </w:p>
        <w:p w14:paraId="21292DDA">
          <w:pPr>
            <w:pStyle w:val="6"/>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_Toc18275 </w:instrText>
          </w:r>
          <w:r>
            <w:rPr>
              <w:rFonts w:ascii="Times New Roman" w:hAnsi="Times New Roman" w:eastAsia="Times New Roman" w:cs="Times New Roman"/>
              <w:szCs w:val="20"/>
            </w:rPr>
            <w:fldChar w:fldCharType="separate"/>
          </w:r>
          <w:r>
            <w:rPr>
              <w:rFonts w:ascii="宋体" w:hAnsi="宋体" w:eastAsia="宋体" w:cs="宋体"/>
              <w:spacing w:val="-2"/>
              <w:szCs w:val="28"/>
              <w14:textOutline w14:w="5103" w14:cap="sq" w14:cmpd="sng">
                <w14:solidFill>
                  <w14:srgbClr w14:val="000000"/>
                </w14:solidFill>
                <w14:prstDash w14:val="solid"/>
                <w14:bevel/>
              </w14:textOutline>
            </w:rPr>
            <w:t>九、社会责任</w:t>
          </w:r>
          <w:r>
            <w:tab/>
          </w:r>
          <w:r>
            <w:fldChar w:fldCharType="begin"/>
          </w:r>
          <w:r>
            <w:instrText xml:space="preserve"> PAGEREF _Toc18275 \h </w:instrText>
          </w:r>
          <w:r>
            <w:fldChar w:fldCharType="separate"/>
          </w:r>
          <w:r>
            <w:t>14</w:t>
          </w:r>
          <w:r>
            <w:fldChar w:fldCharType="end"/>
          </w:r>
          <w:r>
            <w:rPr>
              <w:rFonts w:ascii="Times New Roman" w:hAnsi="Times New Roman" w:eastAsia="Times New Roman" w:cs="Times New Roman"/>
              <w:szCs w:val="20"/>
            </w:rPr>
            <w:fldChar w:fldCharType="end"/>
          </w:r>
        </w:p>
        <w:p w14:paraId="42648782">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_Toc23203 </w:instrText>
          </w:r>
          <w:r>
            <w:rPr>
              <w:rFonts w:ascii="Times New Roman" w:hAnsi="Times New Roman" w:eastAsia="Times New Roman" w:cs="Times New Roman"/>
              <w:szCs w:val="20"/>
            </w:rPr>
            <w:fldChar w:fldCharType="separate"/>
          </w:r>
          <w:r>
            <w:rPr>
              <w:rFonts w:ascii="宋体" w:hAnsi="宋体" w:eastAsia="宋体" w:cs="宋体"/>
              <w:spacing w:val="-5"/>
              <w:szCs w:val="28"/>
              <w14:textOutline w14:w="5103" w14:cap="sq" w14:cmpd="sng">
                <w14:solidFill>
                  <w14:srgbClr w14:val="000000"/>
                </w14:solidFill>
                <w14:prstDash w14:val="solid"/>
                <w14:bevel/>
              </w14:textOutline>
            </w:rPr>
            <w:t>1、公共责任</w:t>
          </w:r>
          <w:r>
            <w:tab/>
          </w:r>
          <w:r>
            <w:fldChar w:fldCharType="begin"/>
          </w:r>
          <w:r>
            <w:instrText xml:space="preserve"> PAGEREF _Toc23203 \h </w:instrText>
          </w:r>
          <w:r>
            <w:fldChar w:fldCharType="separate"/>
          </w:r>
          <w:r>
            <w:t>15</w:t>
          </w:r>
          <w:r>
            <w:fldChar w:fldCharType="end"/>
          </w:r>
          <w:r>
            <w:rPr>
              <w:rFonts w:ascii="Times New Roman" w:hAnsi="Times New Roman" w:eastAsia="Times New Roman" w:cs="Times New Roman"/>
              <w:szCs w:val="20"/>
            </w:rPr>
            <w:fldChar w:fldCharType="end"/>
          </w:r>
        </w:p>
        <w:p w14:paraId="0A52C6E6">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_Toc22056 </w:instrText>
          </w:r>
          <w:r>
            <w:rPr>
              <w:rFonts w:ascii="Times New Roman" w:hAnsi="Times New Roman" w:eastAsia="Times New Roman" w:cs="Times New Roman"/>
              <w:szCs w:val="20"/>
            </w:rPr>
            <w:fldChar w:fldCharType="separate"/>
          </w:r>
          <w:r>
            <w:rPr>
              <w:rFonts w:ascii="宋体" w:hAnsi="宋体" w:eastAsia="宋体" w:cs="宋体"/>
              <w:spacing w:val="-2"/>
              <w:szCs w:val="28"/>
              <w14:textOutline w14:w="5103" w14:cap="sq" w14:cmpd="sng">
                <w14:solidFill>
                  <w14:srgbClr w14:val="000000"/>
                </w14:solidFill>
                <w14:prstDash w14:val="solid"/>
                <w14:bevel/>
              </w14:textOutline>
            </w:rPr>
            <w:t>2、道德行为</w:t>
          </w:r>
          <w:r>
            <w:tab/>
          </w:r>
          <w:r>
            <w:fldChar w:fldCharType="begin"/>
          </w:r>
          <w:r>
            <w:instrText xml:space="preserve"> PAGEREF _Toc22056 \h </w:instrText>
          </w:r>
          <w:r>
            <w:fldChar w:fldCharType="separate"/>
          </w:r>
          <w:r>
            <w:t>18</w:t>
          </w:r>
          <w:r>
            <w:fldChar w:fldCharType="end"/>
          </w:r>
          <w:r>
            <w:rPr>
              <w:rFonts w:ascii="Times New Roman" w:hAnsi="Times New Roman" w:eastAsia="Times New Roman" w:cs="Times New Roman"/>
              <w:szCs w:val="20"/>
            </w:rPr>
            <w:fldChar w:fldCharType="end"/>
          </w:r>
        </w:p>
        <w:p w14:paraId="0D03E63C">
          <w:pPr>
            <w:pStyle w:val="7"/>
            <w:tabs>
              <w:tab w:val="right" w:leader="dot" w:pos="8336"/>
            </w:tabs>
          </w:pPr>
          <w:r>
            <w:rPr>
              <w:rFonts w:ascii="Times New Roman" w:hAnsi="Times New Roman" w:eastAsia="Times New Roman" w:cs="Times New Roman"/>
              <w:szCs w:val="20"/>
            </w:rPr>
            <w:fldChar w:fldCharType="begin"/>
          </w:r>
          <w:r>
            <w:rPr>
              <w:rFonts w:ascii="Times New Roman" w:hAnsi="Times New Roman" w:eastAsia="Times New Roman" w:cs="Times New Roman"/>
              <w:szCs w:val="20"/>
            </w:rPr>
            <w:instrText xml:space="preserve"> HYPERLINK \l _Toc2103 </w:instrText>
          </w:r>
          <w:r>
            <w:rPr>
              <w:rFonts w:ascii="Times New Roman" w:hAnsi="Times New Roman" w:eastAsia="Times New Roman" w:cs="Times New Roman"/>
              <w:szCs w:val="20"/>
            </w:rPr>
            <w:fldChar w:fldCharType="separate"/>
          </w:r>
          <w:r>
            <w:rPr>
              <w:rFonts w:ascii="宋体" w:hAnsi="宋体" w:eastAsia="宋体" w:cs="宋体"/>
              <w:spacing w:val="-6"/>
              <w:szCs w:val="28"/>
              <w14:textOutline w14:w="5103" w14:cap="sq" w14:cmpd="sng">
                <w14:solidFill>
                  <w14:srgbClr w14:val="000000"/>
                </w14:solidFill>
                <w14:prstDash w14:val="solid"/>
                <w14:bevel/>
              </w14:textOutline>
            </w:rPr>
            <w:t>3、自愿开展公益支持：</w:t>
          </w:r>
          <w:r>
            <w:tab/>
          </w:r>
          <w:r>
            <w:fldChar w:fldCharType="begin"/>
          </w:r>
          <w:r>
            <w:instrText xml:space="preserve"> PAGEREF _Toc2103 \h </w:instrText>
          </w:r>
          <w:r>
            <w:fldChar w:fldCharType="separate"/>
          </w:r>
          <w:r>
            <w:t>21</w:t>
          </w:r>
          <w:r>
            <w:fldChar w:fldCharType="end"/>
          </w:r>
          <w:r>
            <w:rPr>
              <w:rFonts w:ascii="Times New Roman" w:hAnsi="Times New Roman" w:eastAsia="Times New Roman" w:cs="Times New Roman"/>
              <w:szCs w:val="20"/>
            </w:rPr>
            <w:fldChar w:fldCharType="end"/>
          </w:r>
        </w:p>
        <w:p w14:paraId="5CEFFC09">
          <w:pPr>
            <w:keepNext w:val="0"/>
            <w:keepLines w:val="0"/>
            <w:pageBreakBefore w:val="0"/>
            <w:widowControl/>
            <w:kinsoku/>
            <w:wordWrap/>
            <w:overflowPunct/>
            <w:topLinePunct w:val="0"/>
            <w:autoSpaceDE w:val="0"/>
            <w:autoSpaceDN w:val="0"/>
            <w:bidi w:val="0"/>
            <w:adjustRightInd w:val="0"/>
            <w:snapToGrid w:val="0"/>
            <w:spacing w:line="228" w:lineRule="auto"/>
            <w:jc w:val="both"/>
            <w:textAlignment w:val="baseline"/>
            <w:rPr>
              <w:rFonts w:ascii="Times New Roman" w:hAnsi="Times New Roman" w:eastAsia="Times New Roman" w:cs="Times New Roman"/>
              <w:sz w:val="20"/>
              <w:szCs w:val="20"/>
            </w:rPr>
            <w:sectPr>
              <w:pgSz w:w="11906" w:h="16839"/>
              <w:pgMar w:top="1431" w:right="1785" w:bottom="0" w:left="1785" w:header="0" w:footer="0" w:gutter="0"/>
              <w:cols w:space="720" w:num="1"/>
            </w:sectPr>
          </w:pPr>
          <w:r>
            <w:rPr>
              <w:rFonts w:ascii="Times New Roman" w:hAnsi="Times New Roman" w:eastAsia="Times New Roman" w:cs="Times New Roman"/>
              <w:szCs w:val="20"/>
            </w:rPr>
            <w:fldChar w:fldCharType="end"/>
          </w:r>
        </w:p>
      </w:sdtContent>
    </w:sdt>
    <w:p w14:paraId="7D2E37AE">
      <w:pPr>
        <w:pStyle w:val="2"/>
        <w:rPr>
          <w:rFonts w:hint="eastAsia"/>
        </w:rPr>
      </w:pPr>
      <w:bookmarkStart w:id="0" w:name="_Toc9457"/>
      <w:r>
        <w:rPr>
          <w:rFonts w:hint="eastAsia"/>
          <w:lang w:val="en-US" w:eastAsia="zh-CN"/>
        </w:rPr>
        <w:t>一、</w:t>
      </w:r>
      <w:r>
        <w:rPr>
          <w:rFonts w:hint="eastAsia"/>
        </w:rPr>
        <w:t>公司简介</w:t>
      </w:r>
      <w:bookmarkEnd w:id="0"/>
    </w:p>
    <w:p w14:paraId="466B570B">
      <w:pPr>
        <w:pStyle w:val="4"/>
        <w:rPr>
          <w:highlight w:val="none"/>
        </w:rPr>
      </w:pPr>
    </w:p>
    <w:p w14:paraId="5EF66EEA">
      <w:pPr>
        <w:keepNext w:val="0"/>
        <w:keepLines w:val="0"/>
        <w:pageBreakBefore w:val="0"/>
        <w:widowControl/>
        <w:kinsoku/>
        <w:wordWrap/>
        <w:overflowPunct/>
        <w:topLinePunct w:val="0"/>
        <w:autoSpaceDE w:val="0"/>
        <w:autoSpaceDN w:val="0"/>
        <w:bidi w:val="0"/>
        <w:adjustRightInd w:val="0"/>
        <w:snapToGrid w:val="0"/>
        <w:spacing w:line="360" w:lineRule="auto"/>
        <w:ind w:left="6" w:right="198" w:rightChars="0" w:firstLine="590"/>
        <w:jc w:val="both"/>
        <w:textAlignment w:val="baseline"/>
        <w:rPr>
          <w:rFonts w:hint="default" w:ascii="宋体" w:hAnsi="宋体" w:eastAsia="宋体" w:cs="宋体"/>
          <w:spacing w:val="-3"/>
          <w:sz w:val="28"/>
          <w:szCs w:val="28"/>
          <w:highlight w:val="none"/>
          <w:lang w:val="en-US" w:eastAsia="zh-CN"/>
        </w:rPr>
      </w:pPr>
      <w:r>
        <w:rPr>
          <w:rFonts w:hint="eastAsia" w:ascii="宋体" w:hAnsi="宋体" w:eastAsia="宋体" w:cs="宋体"/>
          <w:spacing w:val="-3"/>
          <w:sz w:val="28"/>
          <w:szCs w:val="28"/>
          <w:highlight w:val="none"/>
          <w:lang w:val="en-US" w:eastAsia="zh-CN"/>
        </w:rPr>
        <w:t>常州理工科技股份有限公司</w:t>
      </w:r>
      <w:r>
        <w:rPr>
          <w:rFonts w:hint="eastAsia" w:ascii="宋体" w:hAnsi="宋体" w:eastAsia="宋体" w:cs="宋体"/>
          <w:spacing w:val="-3"/>
          <w:sz w:val="28"/>
          <w:szCs w:val="28"/>
          <w:highlight w:val="none"/>
        </w:rPr>
        <w:t>成立于</w:t>
      </w:r>
      <w:r>
        <w:rPr>
          <w:rFonts w:hint="eastAsia" w:ascii="宋体" w:hAnsi="宋体" w:eastAsia="宋体" w:cs="宋体"/>
          <w:spacing w:val="-3"/>
          <w:sz w:val="28"/>
          <w:szCs w:val="28"/>
          <w:highlight w:val="none"/>
          <w:lang w:val="en-US" w:eastAsia="zh-CN"/>
        </w:rPr>
        <w:t>2004</w:t>
      </w:r>
      <w:r>
        <w:rPr>
          <w:rFonts w:hint="eastAsia" w:ascii="宋体" w:hAnsi="宋体" w:eastAsia="宋体" w:cs="宋体"/>
          <w:spacing w:val="-3"/>
          <w:sz w:val="28"/>
          <w:szCs w:val="28"/>
          <w:highlight w:val="none"/>
        </w:rPr>
        <w:t>年，位于</w:t>
      </w:r>
      <w:r>
        <w:rPr>
          <w:rFonts w:hint="eastAsia" w:ascii="宋体" w:hAnsi="宋体" w:eastAsia="宋体" w:cs="宋体"/>
          <w:spacing w:val="-3"/>
          <w:sz w:val="28"/>
          <w:szCs w:val="28"/>
          <w:highlight w:val="none"/>
          <w:lang w:val="en-US" w:eastAsia="zh-CN"/>
        </w:rPr>
        <w:t>新北区春江镇东港二路33号，</w:t>
      </w:r>
      <w:r>
        <w:rPr>
          <w:rFonts w:hint="eastAsia" w:ascii="宋体" w:hAnsi="宋体" w:eastAsia="宋体" w:cs="宋体"/>
          <w:spacing w:val="-3"/>
          <w:sz w:val="28"/>
          <w:szCs w:val="28"/>
          <w:highlight w:val="none"/>
        </w:rPr>
        <w:t>是一家集汽车铝合金轮毂、铝合金铸</w:t>
      </w:r>
      <w:r>
        <w:rPr>
          <w:rFonts w:hint="eastAsia" w:ascii="宋体" w:hAnsi="宋体" w:eastAsia="宋体" w:cs="宋体"/>
          <w:spacing w:val="-3"/>
          <w:sz w:val="28"/>
          <w:szCs w:val="28"/>
          <w:highlight w:val="none"/>
          <w:lang w:val="en-US" w:eastAsia="zh-CN"/>
        </w:rPr>
        <w:t>件产品研发、制造和销售为一体的高科技企业，具备年产铝合金轮毂及铝制品部件100万件/套的生产能力，铝合金轮毂95%远销国外市场，铝合金铸件产品公司的铝部件主要供于高速动车和新能源汽车，主要客户是中车、西门子、博世等世界500强知名企业。主营业务收入逐年递增，2024年铝合金轮毂产量296075件，产值25892万元，主营业务收入达到了25063万元。</w:t>
      </w:r>
    </w:p>
    <w:p w14:paraId="6C208C0C">
      <w:pPr>
        <w:keepNext w:val="0"/>
        <w:keepLines w:val="0"/>
        <w:pageBreakBefore w:val="0"/>
        <w:widowControl/>
        <w:kinsoku/>
        <w:wordWrap/>
        <w:overflowPunct/>
        <w:topLinePunct w:val="0"/>
        <w:autoSpaceDE w:val="0"/>
        <w:autoSpaceDN w:val="0"/>
        <w:bidi w:val="0"/>
        <w:adjustRightInd w:val="0"/>
        <w:snapToGrid w:val="0"/>
        <w:spacing w:line="360" w:lineRule="auto"/>
        <w:ind w:left="6" w:right="198" w:rightChars="0" w:firstLine="590"/>
        <w:jc w:val="both"/>
        <w:textAlignment w:val="baseline"/>
        <w:rPr>
          <w:rFonts w:hint="eastAsia" w:ascii="宋体" w:hAnsi="宋体" w:eastAsia="宋体" w:cs="宋体"/>
          <w:spacing w:val="-3"/>
          <w:sz w:val="28"/>
          <w:szCs w:val="28"/>
          <w:highlight w:val="none"/>
          <w:lang w:val="en-US" w:eastAsia="zh-CN"/>
        </w:rPr>
      </w:pPr>
      <w:r>
        <w:rPr>
          <w:rFonts w:hint="eastAsia" w:ascii="宋体" w:hAnsi="宋体" w:eastAsia="宋体" w:cs="宋体"/>
          <w:spacing w:val="-3"/>
          <w:sz w:val="28"/>
          <w:szCs w:val="28"/>
          <w:highlight w:val="none"/>
          <w:lang w:val="en-US" w:eastAsia="zh-CN"/>
        </w:rPr>
        <w:t>公司拥有江苏省工程技术研究中心，省企业研究生工作站、市级汽车轮毂工程技术研究中心、市级汽车轮毂重点实验室，获得高新技术企业、江苏省民营科技企业、国家级专精特新小巨人企业、省级服务型制造示范企业等荣誉。与常州高级技师学院及江苏理工学院共建人才实习基地。</w:t>
      </w:r>
    </w:p>
    <w:p w14:paraId="3A1B0330">
      <w:pPr>
        <w:keepNext w:val="0"/>
        <w:keepLines w:val="0"/>
        <w:pageBreakBefore w:val="0"/>
        <w:widowControl/>
        <w:kinsoku/>
        <w:wordWrap/>
        <w:overflowPunct/>
        <w:topLinePunct w:val="0"/>
        <w:autoSpaceDE w:val="0"/>
        <w:autoSpaceDN w:val="0"/>
        <w:bidi w:val="0"/>
        <w:adjustRightInd w:val="0"/>
        <w:snapToGrid w:val="0"/>
        <w:spacing w:line="360" w:lineRule="auto"/>
        <w:ind w:left="6" w:right="198" w:rightChars="0" w:firstLine="590"/>
        <w:jc w:val="both"/>
        <w:textAlignment w:val="baseline"/>
        <w:rPr>
          <w:highlight w:val="none"/>
        </w:rPr>
      </w:pPr>
      <w:r>
        <w:rPr>
          <w:rFonts w:hint="eastAsia" w:ascii="宋体" w:hAnsi="宋体" w:eastAsia="宋体" w:cs="宋体"/>
          <w:spacing w:val="-3"/>
          <w:sz w:val="28"/>
          <w:szCs w:val="28"/>
          <w:highlight w:val="none"/>
          <w:lang w:val="en-US" w:eastAsia="zh-CN"/>
        </w:rPr>
        <w:t>公司参与行标《镧铈铝合金》及国标《20230692-T-469 汽车车轮用铸造铝合金》制定，现拥有知识产权专利83项，发明专利5项，并通过了IS09001、IATF16949、ISO14001、ISO45001、ISO50001、GJB9001C和两化融合管理体系等管理体系认证。</w:t>
      </w:r>
    </w:p>
    <w:p w14:paraId="139C49BA">
      <w:pPr>
        <w:pStyle w:val="2"/>
        <w:rPr>
          <w:rFonts w:hint="eastAsia"/>
          <w:lang w:val="en-US" w:eastAsia="zh-CN"/>
        </w:rPr>
      </w:pPr>
      <w:r>
        <w:rPr>
          <w:rFonts w:hint="eastAsia"/>
          <w:lang w:val="en-US" w:eastAsia="zh-CN"/>
        </w:rPr>
        <w:t>二、发展现状</w:t>
      </w:r>
    </w:p>
    <w:p w14:paraId="6566CFC3">
      <w:pPr>
        <w:keepNext w:val="0"/>
        <w:keepLines w:val="0"/>
        <w:pageBreakBefore w:val="0"/>
        <w:widowControl/>
        <w:kinsoku/>
        <w:wordWrap/>
        <w:overflowPunct/>
        <w:topLinePunct w:val="0"/>
        <w:autoSpaceDE w:val="0"/>
        <w:autoSpaceDN w:val="0"/>
        <w:bidi w:val="0"/>
        <w:adjustRightInd w:val="0"/>
        <w:snapToGrid w:val="0"/>
        <w:spacing w:line="360" w:lineRule="auto"/>
        <w:ind w:left="6" w:right="198" w:rightChars="0" w:firstLine="590"/>
        <w:jc w:val="both"/>
        <w:textAlignment w:val="baseline"/>
        <w:rPr>
          <w:rFonts w:hint="eastAsia" w:ascii="宋体" w:hAnsi="宋体" w:eastAsia="宋体" w:cs="宋体"/>
          <w:spacing w:val="-3"/>
          <w:sz w:val="28"/>
          <w:szCs w:val="28"/>
          <w:highlight w:val="none"/>
          <w:lang w:val="en-US" w:eastAsia="zh-CN"/>
        </w:rPr>
      </w:pPr>
      <w:bookmarkStart w:id="1" w:name="_Toc26382"/>
      <w:r>
        <w:rPr>
          <w:rFonts w:hint="default" w:ascii="宋体" w:hAnsi="宋体" w:eastAsia="宋体" w:cs="宋体"/>
          <w:spacing w:val="-3"/>
          <w:sz w:val="28"/>
          <w:szCs w:val="28"/>
          <w:highlight w:val="none"/>
          <w:lang w:val="en-US" w:eastAsia="zh-CN"/>
        </w:rPr>
        <w:t>常州理工科技股份有限公司自2004年成立以来，已发展成为一家专注于汽车铝合金轮毂及铝部件研发、制造与销售的高科技企业，总部位于常州市新北区春江镇。公司以国际化市场为导向，铝合金轮毂产品95%出口海外，同时深耕高端制造领域，为高速动车和新能源汽车提供关键铝部件，客户涵盖中车、西门子、博世等全球500强企业，展现出强劲的市场竞争力。2024年公司实现铝合金轮毂产量29.6万件，产值达2.59亿元，主营业务收入2.51亿元，呈现持续增长态势。</w:t>
      </w:r>
    </w:p>
    <w:p w14:paraId="7C6E42D1">
      <w:pPr>
        <w:keepNext w:val="0"/>
        <w:keepLines w:val="0"/>
        <w:pageBreakBefore w:val="0"/>
        <w:widowControl/>
        <w:kinsoku/>
        <w:wordWrap/>
        <w:overflowPunct/>
        <w:topLinePunct w:val="0"/>
        <w:autoSpaceDE w:val="0"/>
        <w:autoSpaceDN w:val="0"/>
        <w:bidi w:val="0"/>
        <w:adjustRightInd w:val="0"/>
        <w:snapToGrid w:val="0"/>
        <w:spacing w:line="360" w:lineRule="auto"/>
        <w:ind w:left="6" w:right="198" w:rightChars="0" w:firstLine="590"/>
        <w:jc w:val="both"/>
        <w:textAlignment w:val="baseline"/>
        <w:rPr>
          <w:rFonts w:hint="default" w:ascii="宋体" w:hAnsi="宋体" w:eastAsia="宋体" w:cs="宋体"/>
          <w:spacing w:val="-3"/>
          <w:sz w:val="28"/>
          <w:szCs w:val="28"/>
          <w:highlight w:val="none"/>
          <w:lang w:val="en-US" w:eastAsia="zh-CN"/>
        </w:rPr>
      </w:pPr>
      <w:r>
        <w:rPr>
          <w:rFonts w:hint="default" w:ascii="宋体" w:hAnsi="宋体" w:eastAsia="宋体" w:cs="宋体"/>
          <w:spacing w:val="-3"/>
          <w:sz w:val="28"/>
          <w:szCs w:val="28"/>
          <w:highlight w:val="none"/>
          <w:lang w:val="en-US" w:eastAsia="zh-CN"/>
        </w:rPr>
        <w:t>技术创新是公司的核心驱动力，拥有江苏省工程技术研究中心、省企业研究生工作站等研发平台，参与制定《镧铈铝合金》行业标准及《汽车车轮用铸造铝合金》国家标准，累计获得83项专利（含5项发明专利），并通过IATF16949、GJB9001C等多项国际权威认证。公司荣誉体系完善，先后获评国家级专精特新“小巨人”、高新技术企业、江苏省服务型制造示范企业等称号。产学研合作方面，与常州高级技师学院、江苏理工学院共建人才实习基地，强化了技术人才储备。</w:t>
      </w:r>
    </w:p>
    <w:p w14:paraId="5E3C8BD5">
      <w:pPr>
        <w:keepNext w:val="0"/>
        <w:keepLines w:val="0"/>
        <w:pageBreakBefore w:val="0"/>
        <w:widowControl/>
        <w:kinsoku/>
        <w:wordWrap/>
        <w:overflowPunct/>
        <w:topLinePunct w:val="0"/>
        <w:autoSpaceDE w:val="0"/>
        <w:autoSpaceDN w:val="0"/>
        <w:bidi w:val="0"/>
        <w:adjustRightInd w:val="0"/>
        <w:snapToGrid w:val="0"/>
        <w:spacing w:line="360" w:lineRule="auto"/>
        <w:ind w:left="6" w:right="198" w:rightChars="0" w:firstLine="590"/>
        <w:jc w:val="both"/>
        <w:textAlignment w:val="baseline"/>
        <w:rPr>
          <w:rFonts w:hint="eastAsia" w:ascii="宋体" w:hAnsi="宋体" w:eastAsia="宋体" w:cs="宋体"/>
          <w:spacing w:val="-3"/>
          <w:sz w:val="28"/>
          <w:szCs w:val="28"/>
          <w:highlight w:val="none"/>
          <w:lang w:val="en-US" w:eastAsia="zh-CN"/>
        </w:rPr>
      </w:pPr>
      <w:r>
        <w:rPr>
          <w:rFonts w:hint="default" w:ascii="宋体" w:hAnsi="宋体" w:eastAsia="宋体" w:cs="宋体"/>
          <w:spacing w:val="-3"/>
          <w:sz w:val="28"/>
          <w:szCs w:val="28"/>
          <w:highlight w:val="none"/>
          <w:lang w:val="en-US" w:eastAsia="zh-CN"/>
        </w:rPr>
        <w:t>目前，公司年产能力达100万件/套，产品结构兼顾传统汽车与新兴轨道交通、新能源领域，形成了以出口轮毂为主、高端铝部件为辅的双轮驱动模式。严格的标准化管理、持续的技术突破以及稳定的全球大客户合作，共同推动企业向高端智能制造方向稳步发展。</w:t>
      </w:r>
    </w:p>
    <w:p w14:paraId="4405321B">
      <w:pPr>
        <w:pStyle w:val="2"/>
        <w:rPr>
          <w:rFonts w:hint="eastAsia"/>
          <w:lang w:val="en-US" w:eastAsia="zh-CN"/>
        </w:rPr>
      </w:pPr>
      <w:r>
        <w:rPr>
          <w:rFonts w:hint="eastAsia"/>
          <w:lang w:val="en-US" w:eastAsia="zh-CN"/>
        </w:rPr>
        <w:t>三、组织架构图</w:t>
      </w:r>
      <w:bookmarkEnd w:id="1"/>
    </w:p>
    <w:p w14:paraId="649391BC">
      <w:pPr>
        <w:pStyle w:val="4"/>
        <w:keepNext w:val="0"/>
        <w:keepLines w:val="0"/>
        <w:pageBreakBefore w:val="0"/>
        <w:widowControl/>
        <w:kinsoku/>
        <w:wordWrap/>
        <w:overflowPunct/>
        <w:topLinePunct w:val="0"/>
        <w:autoSpaceDE w:val="0"/>
        <w:autoSpaceDN w:val="0"/>
        <w:bidi w:val="0"/>
        <w:adjustRightInd w:val="0"/>
        <w:snapToGrid w:val="0"/>
        <w:spacing w:line="457" w:lineRule="auto"/>
        <w:jc w:val="both"/>
        <w:textAlignment w:val="baseline"/>
        <w:rPr>
          <w:highlight w:val="none"/>
        </w:rPr>
      </w:pPr>
    </w:p>
    <w:p w14:paraId="7BDE3615">
      <w:pPr>
        <w:pStyle w:val="4"/>
        <w:keepNext w:val="0"/>
        <w:keepLines w:val="0"/>
        <w:pageBreakBefore w:val="0"/>
        <w:widowControl/>
        <w:kinsoku/>
        <w:wordWrap/>
        <w:overflowPunct/>
        <w:topLinePunct w:val="0"/>
        <w:autoSpaceDE w:val="0"/>
        <w:autoSpaceDN w:val="0"/>
        <w:bidi w:val="0"/>
        <w:adjustRightInd w:val="0"/>
        <w:snapToGrid w:val="0"/>
        <w:spacing w:line="326" w:lineRule="auto"/>
        <w:jc w:val="both"/>
        <w:textAlignment w:val="baseline"/>
      </w:pPr>
      <w:r>
        <w:drawing>
          <wp:inline distT="0" distB="0" distL="114300" distR="114300">
            <wp:extent cx="5332730" cy="324802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332730" cy="3248025"/>
                    </a:xfrm>
                    <a:prstGeom prst="rect">
                      <a:avLst/>
                    </a:prstGeom>
                    <a:noFill/>
                    <a:ln>
                      <a:noFill/>
                    </a:ln>
                  </pic:spPr>
                </pic:pic>
              </a:graphicData>
            </a:graphic>
          </wp:inline>
        </w:drawing>
      </w:r>
    </w:p>
    <w:p w14:paraId="2B4F5798">
      <w:pPr>
        <w:pStyle w:val="2"/>
        <w:rPr>
          <w:rFonts w:hint="eastAsia"/>
          <w:lang w:val="en-US" w:eastAsia="zh-CN"/>
        </w:rPr>
      </w:pPr>
      <w:bookmarkStart w:id="2" w:name="_Toc522175436"/>
      <w:r>
        <w:rPr>
          <w:rFonts w:hint="eastAsia"/>
          <w:lang w:val="en-US" w:eastAsia="zh-CN"/>
        </w:rPr>
        <w:t>五、信用建设</w:t>
      </w:r>
      <w:bookmarkEnd w:id="2"/>
    </w:p>
    <w:p w14:paraId="1DE036E4">
      <w:pPr>
        <w:autoSpaceDN w:val="0"/>
        <w:spacing w:before="150" w:after="150" w:line="360" w:lineRule="auto"/>
        <w:ind w:firstLine="480" w:firstLineChars="200"/>
        <w:rPr>
          <w:rFonts w:ascii="宋体" w:hAnsi="宋体"/>
          <w:color w:val="FF0000"/>
          <w:sz w:val="24"/>
        </w:rPr>
      </w:pPr>
      <w:r>
        <w:rPr>
          <w:rFonts w:hint="eastAsia" w:ascii="宋体" w:hAnsi="宋体"/>
          <w:sz w:val="24"/>
        </w:rPr>
        <w:t>公司一直将信用管理工作作为公司日常管理的一项重要工作内容坚持开展，在市场经济日益发达的现代社会，我们深知“守合同重信用”是企业生存发展之本，企业的信用资质已成为企业在市场竞争中不可或缺的重要标签。公司始终坚持以诚为本，以信迎客，得到了广大客户的积极评价和充分信赖。</w:t>
      </w:r>
    </w:p>
    <w:p w14:paraId="3DA6860C">
      <w:pPr>
        <w:pStyle w:val="2"/>
        <w:rPr>
          <w:rFonts w:hint="eastAsia"/>
          <w:lang w:val="en-US" w:eastAsia="zh-CN"/>
        </w:rPr>
      </w:pPr>
      <w:bookmarkStart w:id="3" w:name="_Toc522175437"/>
      <w:r>
        <w:rPr>
          <w:rFonts w:hint="eastAsia"/>
          <w:lang w:val="en-US" w:eastAsia="zh-CN"/>
        </w:rPr>
        <w:t>六、环保节约</w:t>
      </w:r>
      <w:bookmarkEnd w:id="3"/>
    </w:p>
    <w:p w14:paraId="38713D32">
      <w:pPr>
        <w:pStyle w:val="3"/>
      </w:pPr>
      <w:bookmarkStart w:id="4" w:name="_Toc522175438"/>
      <w:r>
        <w:rPr>
          <w:rFonts w:hint="eastAsia"/>
        </w:rPr>
        <w:t>1、环境管理</w:t>
      </w:r>
      <w:bookmarkEnd w:id="4"/>
    </w:p>
    <w:p w14:paraId="6B4581E6">
      <w:pPr>
        <w:autoSpaceDN w:val="0"/>
        <w:spacing w:before="150" w:after="150" w:line="360" w:lineRule="auto"/>
        <w:ind w:firstLine="480" w:firstLineChars="200"/>
        <w:rPr>
          <w:rFonts w:ascii="宋体" w:hAnsi="宋体"/>
          <w:sz w:val="24"/>
        </w:rPr>
      </w:pPr>
      <w:r>
        <w:rPr>
          <w:rFonts w:hint="eastAsia" w:ascii="宋体" w:hAnsi="宋体" w:eastAsia="宋体"/>
          <w:sz w:val="24"/>
          <w:lang w:val="en-US" w:eastAsia="zh-CN"/>
        </w:rPr>
        <w:t>常州理工</w:t>
      </w:r>
      <w:r>
        <w:rPr>
          <w:rFonts w:hint="eastAsia" w:ascii="宋体" w:hAnsi="宋体"/>
          <w:sz w:val="24"/>
        </w:rPr>
        <w:t>通过了ISO14000环境管理体系认证，和ISO</w:t>
      </w:r>
      <w:r>
        <w:rPr>
          <w:rFonts w:ascii="宋体" w:hAnsi="宋体"/>
          <w:sz w:val="24"/>
        </w:rPr>
        <w:t>45001</w:t>
      </w:r>
      <w:r>
        <w:rPr>
          <w:rFonts w:hint="eastAsia" w:ascii="宋体" w:hAnsi="宋体"/>
          <w:sz w:val="24"/>
        </w:rPr>
        <w:t>职业健康安全管理体系增强了环境管理和员工职业健康安全的管理能力。建立专门的管理机构，健全完善环境管理制度并纳入正常管理，记录环保设施的运行数据并建立环保档案。建立和完善环境污染事故应急预案，并定期组织演练。加强生产技术和设备管理，充分利用好各种资源、能源，提高原料、能源利用率，不产生或少产生废弃物。凡是通过检修、更换设备能够解决污染问题的，要及时停产检修、更换设备。对重要环境因素和不可接收危险源点进行重点管控，遵纪守法，全年无安全、环保事故的发生。</w:t>
      </w:r>
    </w:p>
    <w:p w14:paraId="4FB08A7F">
      <w:pPr>
        <w:pStyle w:val="3"/>
      </w:pPr>
      <w:bookmarkStart w:id="5" w:name="_Toc522175439"/>
      <w:r>
        <w:rPr>
          <w:rFonts w:hint="eastAsia"/>
        </w:rPr>
        <w:t>2、资源节约与综合利用</w:t>
      </w:r>
      <w:bookmarkEnd w:id="5"/>
    </w:p>
    <w:p w14:paraId="54129410">
      <w:pPr>
        <w:autoSpaceDE w:val="0"/>
        <w:autoSpaceDN w:val="0"/>
        <w:adjustRightInd w:val="0"/>
        <w:spacing w:line="360" w:lineRule="auto"/>
        <w:ind w:firstLine="480" w:firstLineChars="200"/>
        <w:jc w:val="left"/>
        <w:rPr>
          <w:rFonts w:hint="eastAsia" w:ascii="宋体" w:hAnsi="宋体"/>
          <w:sz w:val="24"/>
        </w:rPr>
      </w:pPr>
      <w:r>
        <w:rPr>
          <w:rFonts w:hint="eastAsia" w:ascii="宋体" w:hAnsi="宋体" w:eastAsia="宋体"/>
          <w:sz w:val="24"/>
          <w:lang w:val="en-US" w:eastAsia="zh-CN"/>
        </w:rPr>
        <w:t>常州理工</w:t>
      </w:r>
      <w:r>
        <w:rPr>
          <w:rFonts w:hint="eastAsia" w:ascii="宋体" w:hAnsi="宋体"/>
          <w:sz w:val="24"/>
        </w:rPr>
        <w:t>通过了ISO</w:t>
      </w:r>
      <w:r>
        <w:rPr>
          <w:rFonts w:ascii="宋体" w:hAnsi="宋体"/>
          <w:sz w:val="24"/>
        </w:rPr>
        <w:t>50001</w:t>
      </w:r>
      <w:r>
        <w:rPr>
          <w:rFonts w:hint="eastAsia" w:ascii="宋体" w:hAnsi="宋体"/>
          <w:sz w:val="24"/>
        </w:rPr>
        <w:t>能源管理体系认证，对组织的能耗使用进行了全面分析，得出符合结论，具体数值披露如下：单位产品综</w:t>
      </w:r>
      <w:r>
        <w:rPr>
          <w:rFonts w:hint="eastAsia" w:ascii="宋体" w:hAnsi="宋体"/>
          <w:sz w:val="24"/>
        </w:rPr>
        <w:t>合能耗：0.6494tce/t；单位产值综合能耗：0.2066tce/万元；</w:t>
      </w:r>
    </w:p>
    <w:p w14:paraId="42BE0ACB">
      <w:pPr>
        <w:spacing w:line="360" w:lineRule="auto"/>
        <w:ind w:firstLine="480" w:firstLineChars="200"/>
        <w:rPr>
          <w:rFonts w:ascii="宋体" w:hAnsi="宋体"/>
          <w:sz w:val="24"/>
        </w:rPr>
      </w:pPr>
      <w:r>
        <w:rPr>
          <w:rFonts w:hint="eastAsia" w:ascii="宋体" w:hAnsi="宋体"/>
          <w:sz w:val="24"/>
        </w:rPr>
        <w:t>公司坚决杜绝资源浪费现象。合理错峰用电，节约用水。此外，公司也不断改进生产和加工工艺，全员推进QC小组降本节耗活动，在提高生产效率的同时减少能源损耗。</w:t>
      </w:r>
    </w:p>
    <w:p w14:paraId="0FB0F3BA">
      <w:pPr>
        <w:spacing w:line="360" w:lineRule="auto"/>
        <w:ind w:firstLine="480" w:firstLineChars="200"/>
        <w:rPr>
          <w:rFonts w:ascii="宋体" w:hAnsi="宋体"/>
          <w:sz w:val="24"/>
        </w:rPr>
      </w:pPr>
      <w:r>
        <w:rPr>
          <w:rFonts w:hint="eastAsia" w:ascii="宋体" w:hAnsi="宋体"/>
          <w:sz w:val="24"/>
        </w:rPr>
        <w:t>公司对供应商进行考核，优先采购通过环境管理体系认证的供方提供的物料，优先采购绿色物料，履行环保社会责任。</w:t>
      </w:r>
    </w:p>
    <w:p w14:paraId="4761D264">
      <w:pPr>
        <w:pStyle w:val="3"/>
      </w:pPr>
      <w:r>
        <w:t>3</w:t>
      </w:r>
      <w:r>
        <w:rPr>
          <w:rFonts w:hint="eastAsia"/>
        </w:rPr>
        <w:t>、节能减排</w:t>
      </w:r>
    </w:p>
    <w:p w14:paraId="0B4E82D1">
      <w:pPr>
        <w:spacing w:line="360" w:lineRule="auto"/>
        <w:ind w:firstLine="480" w:firstLineChars="200"/>
        <w:rPr>
          <w:rFonts w:ascii="宋体" w:hAnsi="宋体"/>
          <w:sz w:val="24"/>
        </w:rPr>
      </w:pPr>
      <w:r>
        <w:rPr>
          <w:rFonts w:hint="eastAsia" w:ascii="宋体" w:hAnsi="宋体"/>
          <w:sz w:val="24"/>
        </w:rPr>
        <w:t>“节能降耗、提质高效”是公司节能生产的基本理念。公司在建设初期就对公司的能源利用工作从战略的高度进行布局,成立能源管理部门，全面系统的管理公司的能源事项。</w:t>
      </w:r>
    </w:p>
    <w:p w14:paraId="5DFD3F40">
      <w:pPr>
        <w:spacing w:line="360" w:lineRule="auto"/>
        <w:ind w:firstLine="480" w:firstLineChars="200"/>
        <w:rPr>
          <w:rFonts w:ascii="宋体" w:hAnsi="宋体"/>
          <w:sz w:val="24"/>
        </w:rPr>
      </w:pPr>
      <w:r>
        <w:rPr>
          <w:rFonts w:hint="eastAsia" w:ascii="宋体" w:hAnsi="宋体"/>
          <w:sz w:val="24"/>
        </w:rPr>
        <w:t>公司严格按照 GB 17167-2006《用能单位能源计量器具配备和管理通则》的要规定配备能源计量器具。</w:t>
      </w:r>
    </w:p>
    <w:p w14:paraId="01EBED7A">
      <w:pPr>
        <w:spacing w:line="360" w:lineRule="auto"/>
        <w:ind w:firstLine="480" w:firstLineChars="200"/>
        <w:rPr>
          <w:rFonts w:ascii="宋体" w:hAnsi="宋体"/>
          <w:sz w:val="24"/>
        </w:rPr>
      </w:pPr>
      <w:r>
        <w:rPr>
          <w:rFonts w:hint="eastAsia" w:ascii="宋体" w:hAnsi="宋体"/>
          <w:sz w:val="24"/>
        </w:rPr>
        <w:t>公司高度重视节能减排工作，结合自身发展实际从流程优化、节能减排、淘汰落后产能、应用先进技术入手，将资源综合利用、节能降耗放在首位，按照“治理源头、监督过程、综合利用、末端治理”的思路，大力建设资源节约型、环境友好型、持续发展型的新工厂。</w:t>
      </w:r>
    </w:p>
    <w:p w14:paraId="1282E237">
      <w:pPr>
        <w:pStyle w:val="2"/>
        <w:rPr>
          <w:rFonts w:hint="eastAsia"/>
          <w:lang w:val="en-US" w:eastAsia="zh-CN"/>
        </w:rPr>
      </w:pPr>
      <w:bookmarkStart w:id="6" w:name="_Toc522175440"/>
      <w:r>
        <w:rPr>
          <w:rFonts w:hint="eastAsia"/>
          <w:lang w:val="en-US" w:eastAsia="zh-CN"/>
        </w:rPr>
        <w:t>七、安全生产</w:t>
      </w:r>
      <w:bookmarkEnd w:id="6"/>
    </w:p>
    <w:p w14:paraId="422D21EF">
      <w:pPr>
        <w:pStyle w:val="3"/>
      </w:pPr>
      <w:bookmarkStart w:id="7" w:name="_Toc522175441"/>
      <w:r>
        <w:rPr>
          <w:rFonts w:hint="eastAsia"/>
        </w:rPr>
        <w:t>1、安全生产管理</w:t>
      </w:r>
      <w:bookmarkEnd w:id="7"/>
    </w:p>
    <w:p w14:paraId="587BB260">
      <w:pPr>
        <w:spacing w:line="360" w:lineRule="auto"/>
        <w:ind w:firstLine="480" w:firstLineChars="200"/>
        <w:rPr>
          <w:rFonts w:ascii="宋体" w:hAnsi="宋体"/>
          <w:sz w:val="24"/>
        </w:rPr>
      </w:pPr>
      <w:r>
        <w:rPr>
          <w:rFonts w:hint="eastAsia" w:ascii="宋体" w:hAnsi="宋体"/>
          <w:sz w:val="24"/>
        </w:rPr>
        <w:t>公司本着“安全第一，预防为主”的安全生产方针。逐步推行现代安全管理，重视员工在作业中的安全和健康，成立有公司安全生产领导小组、明确有安全归口管理部门、配备有专兼职安全管理人员，安全生产管理网络健全，制定有各级安全生产责任制、安全生产管理制度，职能部门职责明确，并获得了常州市安全生产监督管理局颁发的《安全生产标准化证书》。</w:t>
      </w:r>
    </w:p>
    <w:p w14:paraId="1C7703F0">
      <w:pPr>
        <w:pStyle w:val="3"/>
      </w:pPr>
      <w:bookmarkStart w:id="8" w:name="_Toc522175442"/>
      <w:r>
        <w:rPr>
          <w:rFonts w:hint="eastAsia"/>
        </w:rPr>
        <w:t>2、安全生产投入</w:t>
      </w:r>
      <w:bookmarkEnd w:id="8"/>
    </w:p>
    <w:p w14:paraId="1CDED9B8">
      <w:pPr>
        <w:autoSpaceDN w:val="0"/>
        <w:spacing w:before="150" w:after="150" w:line="360" w:lineRule="auto"/>
        <w:ind w:firstLine="420"/>
        <w:rPr>
          <w:rFonts w:ascii="宋体" w:hAnsi="宋体"/>
          <w:sz w:val="24"/>
        </w:rPr>
      </w:pPr>
      <w:r>
        <w:rPr>
          <w:rFonts w:hint="eastAsia" w:ascii="宋体" w:hAnsi="宋体"/>
          <w:sz w:val="24"/>
        </w:rPr>
        <w:t>公司根据国家法律法规要求制定并严格执行安全生产预算，制定应急预案并进行演练，组织实施安全改善项目。每年投入资金为员工提供所需要的安全资源，包括个人防护设备、劳动防护用品等，以预防职业伤害、疾病和事故，以及紧急情况处理。按着“加强管控、防范盗窃、人车分离”安全防范要求，实施“安全技防项目”，为保护企业财产安全、保护员工切身利益，维护企业正常经营管理秩序提供了技术保障，提升了企业安全管理水平。</w:t>
      </w:r>
    </w:p>
    <w:p w14:paraId="2C531EEB">
      <w:pPr>
        <w:pStyle w:val="3"/>
      </w:pPr>
      <w:bookmarkStart w:id="9" w:name="_Toc522175443"/>
      <w:r>
        <w:rPr>
          <w:rFonts w:hint="eastAsia"/>
        </w:rPr>
        <w:t>3、安全生产教育和培训</w:t>
      </w:r>
      <w:bookmarkEnd w:id="9"/>
    </w:p>
    <w:p w14:paraId="0BD5E442">
      <w:pPr>
        <w:autoSpaceDN w:val="0"/>
        <w:spacing w:before="150" w:after="150" w:line="360" w:lineRule="auto"/>
        <w:ind w:firstLine="480" w:firstLineChars="200"/>
        <w:rPr>
          <w:rFonts w:ascii="宋体" w:hAnsi="宋体"/>
          <w:sz w:val="24"/>
        </w:rPr>
      </w:pPr>
      <w:r>
        <w:rPr>
          <w:rFonts w:hint="eastAsia" w:ascii="宋体" w:hAnsi="宋体"/>
          <w:sz w:val="24"/>
        </w:rPr>
        <w:t>员工是企业最宝贵的财富，企业的发展离不开员工，我公司一直以来都把安全生产、职工劳动保护工作当作一切工作中的重中之重，切实维护职工的生命安全和职业健康。为进一步加强企业安全工作，营造“安全管理，人人有责”的良好氛围，树立安全为天的思想意识，20</w:t>
      </w:r>
      <w:r>
        <w:rPr>
          <w:rFonts w:ascii="宋体" w:hAnsi="宋体"/>
          <w:sz w:val="24"/>
        </w:rPr>
        <w:t>23</w:t>
      </w:r>
      <w:r>
        <w:rPr>
          <w:rFonts w:hint="eastAsia" w:ascii="宋体" w:hAnsi="宋体"/>
          <w:sz w:val="24"/>
        </w:rPr>
        <w:t>年6月，公司工会联合相关部门举行了2017年“安全生产月”活动启动仪式，结合开展“‘安全生产月’安全知识教育、考核评比”活动，推动公司安全生产工作再上新台阶。此次活动坚持“安全隐患排查与治理”工作为主线，不断夯实安全基础，深入开展隐患排查治理和安全督查工作，宣传安全生产方针政策，合理部署、整体推进，使安全生产管理深入人心，进一步提高全体干部职工的安全意识和责任意识，形成“安全生产，以人为本”的共识。</w:t>
      </w:r>
    </w:p>
    <w:p w14:paraId="27A26503">
      <w:pPr>
        <w:pStyle w:val="2"/>
      </w:pPr>
      <w:bookmarkStart w:id="10" w:name="_Toc522175444"/>
      <w:r>
        <w:rPr>
          <w:rFonts w:hint="eastAsia"/>
        </w:rPr>
        <w:t>八、员工</w:t>
      </w:r>
      <w:bookmarkEnd w:id="10"/>
    </w:p>
    <w:p w14:paraId="1C09DDF0">
      <w:pPr>
        <w:pStyle w:val="3"/>
      </w:pPr>
      <w:bookmarkStart w:id="11" w:name="_Toc522175445"/>
      <w:r>
        <w:rPr>
          <w:rFonts w:hint="eastAsia"/>
        </w:rPr>
        <w:t>1、劳动合同与薪酬</w:t>
      </w:r>
      <w:bookmarkEnd w:id="11"/>
    </w:p>
    <w:p w14:paraId="4193FC5B">
      <w:pPr>
        <w:autoSpaceDN w:val="0"/>
        <w:spacing w:before="150" w:after="150" w:line="360" w:lineRule="auto"/>
        <w:ind w:firstLine="420"/>
        <w:rPr>
          <w:rFonts w:ascii="宋体" w:hAnsi="宋体"/>
          <w:sz w:val="24"/>
        </w:rPr>
      </w:pPr>
      <w:r>
        <w:rPr>
          <w:rFonts w:hint="eastAsia" w:ascii="宋体" w:hAnsi="宋体"/>
          <w:sz w:val="24"/>
        </w:rPr>
        <w:t>公司严格遵守、全面贯彻《中华人民共和国劳动合同法》等法律法规，遵循合法、公平、平等自愿的原则与员工签订书面劳动合同，依法进行劳动合同的履行、变更、解除和终止。劳动合同签约率 100%。公司制定公平合理的薪酬制度，按时足额支付员工薪酬。遵循企业经营效益与员工收入同步提升的原则，根据企业年度经营目标，结合本市颁布的工资增长指导线，比照同行业人工成本和劳动力市场工资指导价位，确定年度平均工资增长幅度。因生产经营需要，安排加班需征得员工同意，按国家劳动法律法规支付相关报酬。</w:t>
      </w:r>
    </w:p>
    <w:p w14:paraId="6545036D">
      <w:pPr>
        <w:pStyle w:val="3"/>
      </w:pPr>
      <w:bookmarkStart w:id="12" w:name="_Toc522175446"/>
      <w:r>
        <w:rPr>
          <w:rFonts w:hint="eastAsia"/>
        </w:rPr>
        <w:t>2、社会保障</w:t>
      </w:r>
      <w:bookmarkEnd w:id="12"/>
    </w:p>
    <w:p w14:paraId="23A15AAB">
      <w:pPr>
        <w:autoSpaceDN w:val="0"/>
        <w:spacing w:before="150" w:after="150" w:line="378" w:lineRule="atLeast"/>
        <w:ind w:firstLine="420"/>
        <w:rPr>
          <w:rFonts w:ascii="宋体" w:hAnsi="宋体"/>
          <w:sz w:val="24"/>
        </w:rPr>
      </w:pPr>
      <w:r>
        <w:rPr>
          <w:rFonts w:hint="eastAsia" w:ascii="宋体" w:hAnsi="宋体"/>
          <w:sz w:val="24"/>
        </w:rPr>
        <w:t>公司依法为员工按时足额缴纳养老金、失业保险金、医疗保险金等社会保险。</w:t>
      </w:r>
    </w:p>
    <w:p w14:paraId="00202572">
      <w:pPr>
        <w:pStyle w:val="3"/>
      </w:pPr>
      <w:bookmarkStart w:id="13" w:name="_Toc522175447"/>
      <w:r>
        <w:rPr>
          <w:rFonts w:hint="eastAsia"/>
        </w:rPr>
        <w:t>3、员工福利</w:t>
      </w:r>
      <w:bookmarkEnd w:id="13"/>
    </w:p>
    <w:p w14:paraId="6C49394A">
      <w:pPr>
        <w:autoSpaceDN w:val="0"/>
        <w:spacing w:before="150" w:after="150" w:line="360" w:lineRule="auto"/>
        <w:ind w:firstLine="420"/>
        <w:rPr>
          <w:rFonts w:ascii="宋体" w:hAnsi="宋体"/>
          <w:sz w:val="24"/>
        </w:rPr>
      </w:pPr>
      <w:r>
        <w:rPr>
          <w:rFonts w:hint="eastAsia" w:ascii="宋体" w:hAnsi="宋体"/>
          <w:sz w:val="24"/>
        </w:rPr>
        <w:t>为丰富员工的业余生活，公司也组织策划了各类型活动，如生日联谊会；元宵节猜灯谜、包汤圆；小年包饺子；中秋节送福利等等。这些活动活跃和丰富了员工业余生活，激发了员工学习热情，增强了大家的凝聚力，在公司形成了良好的学习氛围。</w:t>
      </w:r>
    </w:p>
    <w:p w14:paraId="5027B289">
      <w:pPr>
        <w:autoSpaceDN w:val="0"/>
        <w:spacing w:before="150" w:after="150" w:line="360" w:lineRule="auto"/>
        <w:ind w:firstLine="420"/>
        <w:rPr>
          <w:rFonts w:ascii="宋体" w:hAnsi="宋体"/>
          <w:sz w:val="24"/>
        </w:rPr>
      </w:pPr>
      <w:r>
        <w:rPr>
          <w:rFonts w:hint="eastAsia" w:ascii="宋体" w:hAnsi="宋体"/>
          <w:sz w:val="24"/>
        </w:rPr>
        <w:t>对员工的责任是让全体员工安全、健康、快乐、富有。体现的是“家”文化。公司工会更是以关心员工生活，为群众办好事实事为已任，工会委员把关心做到“家”。公司工会每年会拿出一部分资金慰问在职和已退休的困难员工，认真了解员工的实际工作状况和所思所想所求，为员工排忧解难。</w:t>
      </w:r>
    </w:p>
    <w:p w14:paraId="1DF91427">
      <w:pPr>
        <w:pStyle w:val="3"/>
      </w:pPr>
      <w:bookmarkStart w:id="14" w:name="_Toc522175448"/>
      <w:r>
        <w:rPr>
          <w:rFonts w:hint="eastAsia"/>
        </w:rPr>
        <w:t>4、职业健康安全</w:t>
      </w:r>
      <w:bookmarkEnd w:id="14"/>
    </w:p>
    <w:p w14:paraId="7786E299">
      <w:pPr>
        <w:autoSpaceDN w:val="0"/>
        <w:spacing w:before="150" w:after="150" w:line="360" w:lineRule="auto"/>
        <w:ind w:firstLine="420"/>
        <w:rPr>
          <w:rFonts w:ascii="宋体" w:hAnsi="宋体"/>
          <w:sz w:val="24"/>
        </w:rPr>
      </w:pPr>
      <w:r>
        <w:rPr>
          <w:rFonts w:hint="eastAsia" w:ascii="宋体" w:hAnsi="宋体"/>
          <w:sz w:val="24"/>
        </w:rPr>
        <w:t>关注员工身心健康，进行全员健康普查。公司每年一次为员工进行健康普查，为女员工进行妇科检查。建立了员工健康电子档案。与此同时，积极开展职业健康宣传，利用发布预防疾病的信息和知识等综合手段，关心员工健康，减少疾病危害。</w:t>
      </w:r>
    </w:p>
    <w:p w14:paraId="0CAFFDE6">
      <w:pPr>
        <w:pStyle w:val="3"/>
      </w:pPr>
      <w:bookmarkStart w:id="15" w:name="_Toc522175449"/>
      <w:r>
        <w:rPr>
          <w:rFonts w:hint="eastAsia"/>
        </w:rPr>
        <w:t>5、民主管理</w:t>
      </w:r>
      <w:bookmarkEnd w:id="15"/>
    </w:p>
    <w:p w14:paraId="56AC0CD6">
      <w:pPr>
        <w:autoSpaceDN w:val="0"/>
        <w:spacing w:before="150" w:after="150" w:line="360" w:lineRule="auto"/>
        <w:ind w:firstLine="420"/>
        <w:rPr>
          <w:rFonts w:ascii="宋体" w:hAnsi="宋体"/>
          <w:sz w:val="24"/>
        </w:rPr>
      </w:pPr>
      <w:r>
        <w:rPr>
          <w:rFonts w:hint="eastAsia" w:ascii="宋体" w:hAnsi="宋体"/>
          <w:sz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等途径审议确定。建立工资集体协商机制，针对相关的重大事项，如：工资调整机制、奖励性工资、加班工资、最低工资水平等进行平等协商；在各项涉及到员工利益的改革措施出台前，坚持召开员工代表大会以投票表决的形式予以通过后实施。公司全力支持员工参加工会，鼓励员工多途径参与民主管理。如：职代会制度，领导干部民主评议等。公司成立由党支部、工会和员工代表三方组成的劳动纠纷调解委员会，建立劳动纠纷调解的处理程序。</w:t>
      </w:r>
    </w:p>
    <w:p w14:paraId="217554FF">
      <w:pPr>
        <w:pStyle w:val="3"/>
      </w:pPr>
      <w:bookmarkStart w:id="16" w:name="_Toc522175450"/>
      <w:r>
        <w:rPr>
          <w:rFonts w:hint="eastAsia"/>
        </w:rPr>
        <w:t>6、员工培训和发展</w:t>
      </w:r>
      <w:bookmarkEnd w:id="16"/>
    </w:p>
    <w:p w14:paraId="2D4A79A7">
      <w:pPr>
        <w:autoSpaceDN w:val="0"/>
        <w:spacing w:before="150" w:after="150" w:line="360" w:lineRule="auto"/>
        <w:ind w:firstLine="480" w:firstLineChars="200"/>
        <w:rPr>
          <w:rFonts w:ascii="宋体" w:hAnsi="宋体"/>
          <w:sz w:val="24"/>
        </w:rPr>
      </w:pPr>
      <w:r>
        <w:rPr>
          <w:rFonts w:hint="eastAsia" w:ascii="宋体" w:hAnsi="宋体"/>
          <w:sz w:val="24"/>
        </w:rPr>
        <w:t>开展全方位、多层次、系统性的教育培训。公司将培训内容分为入职培训、专业培训、管理培训三种，将培训形式分为公开课、内部培训、内训、培训项目四种。公司实施个性化的员工学习与发展计划。针对专业技术人员，邀请国际国内技术专家举办专题讲座，每年技术研究报告会等形式，将知识和经验进行传承。针对制造现场人员，对不同的职位开展一系列活动和培训，如上岗培训、班长培训、岗位技能培训、学历培训等等。</w:t>
      </w:r>
    </w:p>
    <w:p w14:paraId="78774964">
      <w:pPr>
        <w:pStyle w:val="2"/>
      </w:pPr>
      <w:bookmarkStart w:id="17" w:name="_Toc522175451"/>
      <w:r>
        <w:rPr>
          <w:rFonts w:hint="eastAsia"/>
        </w:rPr>
        <w:t>九、社会责任</w:t>
      </w:r>
      <w:bookmarkEnd w:id="17"/>
    </w:p>
    <w:p w14:paraId="13476E34">
      <w:pPr>
        <w:spacing w:line="360" w:lineRule="auto"/>
        <w:outlineLvl w:val="1"/>
        <w:rPr>
          <w:rFonts w:ascii="宋体" w:hAnsi="宋体"/>
          <w:b/>
          <w:sz w:val="24"/>
        </w:rPr>
      </w:pPr>
      <w:bookmarkStart w:id="18" w:name="_Toc522175452"/>
      <w:r>
        <w:rPr>
          <w:rFonts w:hint="eastAsia" w:ascii="宋体" w:hAnsi="宋体"/>
          <w:b/>
          <w:sz w:val="24"/>
        </w:rPr>
        <w:t>提要</w:t>
      </w:r>
      <w:bookmarkEnd w:id="18"/>
    </w:p>
    <w:p w14:paraId="0486EDBB">
      <w:pPr>
        <w:spacing w:line="360" w:lineRule="auto"/>
        <w:ind w:firstLine="480" w:firstLineChars="200"/>
        <w:rPr>
          <w:rFonts w:ascii="宋体" w:hAnsi="宋体"/>
          <w:sz w:val="24"/>
        </w:rPr>
      </w:pPr>
      <w:r>
        <w:rPr>
          <w:rFonts w:hint="eastAsia" w:ascii="宋体" w:hAnsi="宋体"/>
          <w:sz w:val="24"/>
        </w:rPr>
        <w:t>一个卓越企业既要考虑当前利益，更重要的是着眼长远可持续发展。而长远发展和持续经营，离不开社会的协同、和谐与发展。认真履行社会责任是不可小视的重要内容。</w:t>
      </w:r>
      <w:r>
        <w:rPr>
          <w:rFonts w:hint="eastAsia" w:ascii="宋体" w:hAnsi="宋体" w:eastAsia="宋体"/>
          <w:sz w:val="24"/>
          <w:lang w:eastAsia="zh-CN"/>
        </w:rPr>
        <w:t>常州理工科技股份有限公司</w:t>
      </w:r>
      <w:r>
        <w:rPr>
          <w:rFonts w:hint="eastAsia" w:ascii="宋体" w:hAnsi="宋体"/>
          <w:sz w:val="24"/>
        </w:rPr>
        <w:t>在追求经济效益、保护投资方利益、不断发展的同时，积极履行公共责任及恪守道德规范，保护职工的合法权益，诚信对待供应商、客户，做到以公司的健康发展实现投资方、员工收益同步成长，让客户满意、社会放心，从而促进公司与社会的协调、和谐发展。</w:t>
      </w:r>
    </w:p>
    <w:p w14:paraId="6D1ED0BB">
      <w:pPr>
        <w:spacing w:line="360" w:lineRule="auto"/>
        <w:ind w:firstLine="480" w:firstLineChars="200"/>
        <w:rPr>
          <w:rFonts w:ascii="宋体" w:hAnsi="宋体"/>
          <w:sz w:val="24"/>
        </w:rPr>
      </w:pPr>
      <w:r>
        <w:rPr>
          <w:rFonts w:hint="eastAsia" w:ascii="宋体" w:hAnsi="宋体"/>
          <w:sz w:val="24"/>
        </w:rPr>
        <w:t>承担的社会责任包括：公共责任、道德规范和自愿开展的公益支持三部分。</w:t>
      </w:r>
    </w:p>
    <w:p w14:paraId="523A98D5">
      <w:pPr>
        <w:spacing w:line="360" w:lineRule="auto"/>
        <w:outlineLvl w:val="1"/>
        <w:rPr>
          <w:rFonts w:ascii="宋体" w:hAnsi="宋体"/>
          <w:b/>
        </w:rPr>
      </w:pPr>
      <w:bookmarkStart w:id="19" w:name="_Toc522175453"/>
      <w:r>
        <w:rPr>
          <w:rFonts w:hint="eastAsia" w:ascii="宋体" w:hAnsi="宋体"/>
          <w:b/>
          <w:sz w:val="24"/>
        </w:rPr>
        <w:t>1、公共责任</w:t>
      </w:r>
      <w:bookmarkEnd w:id="19"/>
    </w:p>
    <w:p w14:paraId="2D0609CF">
      <w:pPr>
        <w:spacing w:line="360" w:lineRule="auto"/>
        <w:ind w:firstLine="480" w:firstLineChars="200"/>
        <w:rPr>
          <w:rFonts w:ascii="宋体" w:hAnsi="宋体"/>
          <w:b/>
          <w:sz w:val="24"/>
        </w:rPr>
      </w:pPr>
      <w:r>
        <w:rPr>
          <w:rFonts w:hint="eastAsia" w:ascii="宋体" w:hAnsi="宋体"/>
          <w:b/>
          <w:sz w:val="24"/>
        </w:rPr>
        <w:t>（1）公司对质量安全、环境保护、能源节约和资源综合利用以及公共卫生等方面的社会影响，并采取预防、控制和改进措施。</w:t>
      </w:r>
    </w:p>
    <w:p w14:paraId="5BB3094A">
      <w:pPr>
        <w:spacing w:line="360" w:lineRule="auto"/>
        <w:ind w:firstLine="480" w:firstLineChars="200"/>
        <w:rPr>
          <w:rFonts w:ascii="宋体" w:hAnsi="宋体"/>
          <w:sz w:val="24"/>
        </w:rPr>
      </w:pPr>
      <w:r>
        <w:rPr>
          <w:rFonts w:hint="eastAsia" w:ascii="宋体" w:hAnsi="宋体"/>
          <w:sz w:val="24"/>
        </w:rPr>
        <w:t>常州理工科技股份有限公司是一家集研发、设计、生产、销售于一体的专业铝合金轮毂生产企业</w:t>
      </w:r>
      <w:r>
        <w:rPr>
          <w:rFonts w:hint="eastAsia" w:ascii="宋体" w:hAnsi="宋体" w:eastAsia="宋体"/>
          <w:sz w:val="24"/>
          <w:lang w:eastAsia="zh-CN"/>
        </w:rPr>
        <w:t>，</w:t>
      </w:r>
      <w:r>
        <w:rPr>
          <w:rFonts w:hint="eastAsia" w:ascii="宋体" w:hAnsi="宋体"/>
          <w:sz w:val="24"/>
        </w:rPr>
        <w:t>应用于</w:t>
      </w:r>
      <w:r>
        <w:rPr>
          <w:rFonts w:hint="eastAsia" w:ascii="宋体" w:hAnsi="宋体" w:eastAsia="宋体"/>
          <w:sz w:val="24"/>
          <w:lang w:val="en-US" w:eastAsia="zh-CN"/>
        </w:rPr>
        <w:t>汽车</w:t>
      </w:r>
      <w:r>
        <w:rPr>
          <w:rFonts w:hint="eastAsia" w:ascii="宋体" w:hAnsi="宋体"/>
          <w:sz w:val="24"/>
        </w:rPr>
        <w:t xml:space="preserve">，产品的质量与安全，其综合性能经得起最严苛的考验。    </w:t>
      </w:r>
    </w:p>
    <w:p w14:paraId="7E783378">
      <w:pPr>
        <w:spacing w:line="360" w:lineRule="auto"/>
        <w:ind w:firstLine="480" w:firstLineChars="200"/>
        <w:rPr>
          <w:rFonts w:ascii="宋体" w:hAnsi="宋体"/>
          <w:sz w:val="24"/>
        </w:rPr>
      </w:pPr>
      <w:r>
        <w:rPr>
          <w:rFonts w:hint="eastAsia" w:ascii="宋体" w:hAnsi="宋体"/>
          <w:sz w:val="24"/>
        </w:rPr>
        <w:t>公司严格执行GBT19001/ISO9001 质量管理体系要求，GB/T24001/ISO14001环境管理体系和GB/T28001/OHSAS18001职业健康安全管理体系要求，公司制定了严密的质量安全防控体系，公司的产品经过充分设计论证、试验、检验、测试，才能投入正常生产运行。公司在积极推行安全体系标准化工作，获得了社会、员工、客户的广泛认可。</w:t>
      </w:r>
    </w:p>
    <w:p w14:paraId="040A68E4">
      <w:pPr>
        <w:spacing w:line="360" w:lineRule="auto"/>
        <w:ind w:firstLine="480" w:firstLineChars="200"/>
        <w:rPr>
          <w:rFonts w:ascii="宋体" w:hAnsi="宋体"/>
          <w:sz w:val="24"/>
        </w:rPr>
      </w:pPr>
      <w:r>
        <w:rPr>
          <w:rFonts w:hint="eastAsia" w:ascii="宋体" w:hAnsi="宋体"/>
          <w:sz w:val="24"/>
        </w:rPr>
        <w:t>公司着眼于高性能、节约环保型产品的开发，生产12-32寸各系列的高端铝合金轮毂等系列产品，以优异的性能，为企业、为客户、为社会创造了较高的经济利益，同时大大降低了资源、能源消耗，成为了节能环保型产品的典范。公司的产品严格按照节能、环保的理念设计、制造，既降低了生产成本，同时实现了效益生产。</w:t>
      </w:r>
    </w:p>
    <w:p w14:paraId="1E66B7D7">
      <w:pPr>
        <w:spacing w:line="360" w:lineRule="auto"/>
        <w:ind w:firstLine="480" w:firstLineChars="200"/>
        <w:rPr>
          <w:rFonts w:ascii="宋体" w:hAnsi="宋体"/>
          <w:b/>
          <w:sz w:val="24"/>
        </w:rPr>
      </w:pPr>
      <w:r>
        <w:rPr>
          <w:rFonts w:hint="eastAsia" w:ascii="宋体" w:hAnsi="宋体"/>
          <w:b/>
          <w:sz w:val="24"/>
        </w:rPr>
        <w:t>(2)主动预见公众对产品、服务和运营方面的隐忧，做出应对准备</w:t>
      </w:r>
    </w:p>
    <w:p w14:paraId="65A771BE">
      <w:pPr>
        <w:spacing w:line="360" w:lineRule="auto"/>
        <w:ind w:firstLine="480" w:firstLineChars="200"/>
        <w:rPr>
          <w:rFonts w:ascii="宋体" w:hAnsi="宋体"/>
          <w:sz w:val="24"/>
        </w:rPr>
      </w:pPr>
      <w:r>
        <w:rPr>
          <w:rFonts w:hint="eastAsia" w:ascii="宋体" w:hAnsi="宋体"/>
          <w:sz w:val="24"/>
        </w:rPr>
        <w:t>公司在应对公众对新建基础设施的环境安全的隐忧问题上，除了确保配套环境、安全设施的同时设计、同时施工、同时交付使用外；应对公众对突发事件的隐忧，还制定应急预案并进行定期演练。</w:t>
      </w:r>
    </w:p>
    <w:p w14:paraId="63C38088">
      <w:pPr>
        <w:spacing w:line="360" w:lineRule="auto"/>
        <w:ind w:firstLine="480" w:firstLineChars="200"/>
        <w:rPr>
          <w:rFonts w:ascii="宋体" w:hAnsi="宋体"/>
          <w:sz w:val="24"/>
        </w:rPr>
      </w:pPr>
      <w:r>
        <w:rPr>
          <w:rFonts w:hint="eastAsia" w:ascii="宋体" w:hAnsi="宋体" w:eastAsia="宋体"/>
          <w:sz w:val="24"/>
          <w:lang w:eastAsia="zh-CN"/>
        </w:rPr>
        <w:t>常州理工科技股份有限公司</w:t>
      </w:r>
      <w:r>
        <w:rPr>
          <w:rFonts w:hint="eastAsia" w:ascii="宋体" w:hAnsi="宋体"/>
          <w:sz w:val="24"/>
        </w:rPr>
        <w:t>在办公楼设立了明确的消防、安全应急通道、安全指示牌、应急电源指示灯等；生产现场、作业区明确安全通道、光栅栏、各安全消防设施存放等标识；电器设备、起重设备、机械等设备明确的载荷、安全作业指标标识；设立了疏散、集合点等等。</w:t>
      </w:r>
    </w:p>
    <w:p w14:paraId="5E26BA92">
      <w:pPr>
        <w:spacing w:line="360" w:lineRule="auto"/>
        <w:ind w:firstLine="480" w:firstLineChars="200"/>
        <w:rPr>
          <w:rFonts w:ascii="宋体" w:hAnsi="宋体"/>
          <w:sz w:val="24"/>
        </w:rPr>
      </w:pPr>
      <w:r>
        <w:rPr>
          <w:rFonts w:hint="eastAsia" w:ascii="宋体" w:hAnsi="宋体"/>
          <w:sz w:val="24"/>
        </w:rPr>
        <w:t>公司准确把握法规、标准、政策走向及公众关注焦点，通过行业协会信息收集、专业研究机构咨询、开展公众调查等方法，组织分析论证，听取政府机构和行业专家的意见建议，找出目前关注的环保、节能、安全生产等方面问题，不断改进完善相应的对策和措施。并在打造舒适环境、创建国际一流的花园式工业企业方面，取得了显著效果。公司针对公众隐忧的原因分析及采取措施见表1.4-1。</w:t>
      </w:r>
    </w:p>
    <w:p w14:paraId="746388F0">
      <w:pPr>
        <w:spacing w:line="360" w:lineRule="auto"/>
        <w:ind w:firstLine="480" w:firstLineChars="200"/>
        <w:rPr>
          <w:rFonts w:ascii="宋体" w:hAnsi="宋体"/>
          <w:sz w:val="24"/>
        </w:rPr>
      </w:pPr>
    </w:p>
    <w:p w14:paraId="0ED052BA">
      <w:pPr>
        <w:jc w:val="center"/>
        <w:rPr>
          <w:rFonts w:ascii="宋体" w:hAnsi="宋体"/>
          <w:szCs w:val="21"/>
        </w:rPr>
      </w:pPr>
      <w:r>
        <w:rPr>
          <w:rFonts w:hint="eastAsia" w:ascii="宋体" w:hAnsi="宋体"/>
          <w:szCs w:val="21"/>
        </w:rPr>
        <w:t>表1.4-1  公司针对公众隐忧的原因分析及采取措施</w:t>
      </w:r>
    </w:p>
    <w:p w14:paraId="7A76AB7D">
      <w:pPr>
        <w:jc w:val="center"/>
        <w:rPr>
          <w:rFonts w:ascii="宋体" w:hAnsi="宋体"/>
          <w:szCs w:val="21"/>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621"/>
        <w:gridCol w:w="5757"/>
      </w:tblGrid>
      <w:tr w14:paraId="7DBE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082" w:type="dxa"/>
            <w:shd w:val="clear" w:color="auto" w:fill="D7D7D7"/>
            <w:vAlign w:val="center"/>
          </w:tcPr>
          <w:p w14:paraId="69025B52">
            <w:pPr>
              <w:spacing w:line="240" w:lineRule="exact"/>
              <w:jc w:val="center"/>
              <w:rPr>
                <w:rFonts w:ascii="宋体" w:hAnsi="宋体"/>
                <w:b/>
                <w:bCs/>
                <w:szCs w:val="21"/>
              </w:rPr>
            </w:pPr>
            <w:r>
              <w:rPr>
                <w:rFonts w:hint="eastAsia" w:ascii="宋体" w:hAnsi="宋体"/>
                <w:b/>
                <w:bCs/>
                <w:szCs w:val="21"/>
              </w:rPr>
              <w:t>公共</w:t>
            </w:r>
          </w:p>
          <w:p w14:paraId="1A764A02">
            <w:pPr>
              <w:spacing w:line="240" w:lineRule="exact"/>
              <w:jc w:val="center"/>
              <w:rPr>
                <w:rFonts w:ascii="宋体" w:hAnsi="宋体"/>
                <w:b/>
                <w:bCs/>
                <w:szCs w:val="21"/>
              </w:rPr>
            </w:pPr>
            <w:r>
              <w:rPr>
                <w:rFonts w:hint="eastAsia" w:ascii="宋体" w:hAnsi="宋体"/>
                <w:b/>
                <w:bCs/>
                <w:szCs w:val="21"/>
              </w:rPr>
              <w:t>隐忧</w:t>
            </w:r>
          </w:p>
        </w:tc>
        <w:tc>
          <w:tcPr>
            <w:tcW w:w="1621" w:type="dxa"/>
            <w:shd w:val="clear" w:color="auto" w:fill="D7D7D7"/>
            <w:vAlign w:val="center"/>
          </w:tcPr>
          <w:p w14:paraId="4701F3CF">
            <w:pPr>
              <w:spacing w:line="240" w:lineRule="exact"/>
              <w:jc w:val="center"/>
              <w:rPr>
                <w:rFonts w:ascii="宋体" w:hAnsi="宋体"/>
                <w:b/>
                <w:bCs/>
                <w:szCs w:val="21"/>
              </w:rPr>
            </w:pPr>
            <w:r>
              <w:rPr>
                <w:rFonts w:hint="eastAsia" w:ascii="宋体" w:hAnsi="宋体"/>
                <w:b/>
                <w:bCs/>
                <w:szCs w:val="21"/>
              </w:rPr>
              <w:t>产生原因</w:t>
            </w:r>
          </w:p>
        </w:tc>
        <w:tc>
          <w:tcPr>
            <w:tcW w:w="5757" w:type="dxa"/>
            <w:shd w:val="clear" w:color="auto" w:fill="D7D7D7"/>
            <w:vAlign w:val="center"/>
          </w:tcPr>
          <w:p w14:paraId="30F3382C">
            <w:pPr>
              <w:spacing w:line="240" w:lineRule="exact"/>
              <w:jc w:val="center"/>
              <w:rPr>
                <w:rFonts w:ascii="宋体" w:hAnsi="宋体"/>
                <w:b/>
                <w:bCs/>
                <w:szCs w:val="21"/>
              </w:rPr>
            </w:pPr>
            <w:r>
              <w:rPr>
                <w:rFonts w:hint="eastAsia" w:ascii="宋体" w:hAnsi="宋体"/>
                <w:b/>
                <w:bCs/>
                <w:szCs w:val="21"/>
              </w:rPr>
              <w:t>应对措施</w:t>
            </w:r>
          </w:p>
        </w:tc>
      </w:tr>
      <w:tr w14:paraId="0223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082" w:type="dxa"/>
            <w:shd w:val="clear" w:color="auto" w:fill="D7D7D7"/>
            <w:vAlign w:val="center"/>
          </w:tcPr>
          <w:p w14:paraId="19D8E645">
            <w:pPr>
              <w:spacing w:line="240" w:lineRule="exact"/>
              <w:jc w:val="center"/>
              <w:rPr>
                <w:rFonts w:ascii="宋体" w:hAnsi="宋体"/>
                <w:b/>
                <w:bCs/>
                <w:szCs w:val="21"/>
              </w:rPr>
            </w:pPr>
            <w:r>
              <w:rPr>
                <w:rFonts w:hint="eastAsia" w:ascii="宋体" w:hAnsi="宋体"/>
                <w:b/>
                <w:bCs/>
                <w:szCs w:val="21"/>
              </w:rPr>
              <w:t>产品安全</w:t>
            </w:r>
          </w:p>
        </w:tc>
        <w:tc>
          <w:tcPr>
            <w:tcW w:w="1621" w:type="dxa"/>
            <w:vAlign w:val="center"/>
          </w:tcPr>
          <w:p w14:paraId="31069AF1">
            <w:pPr>
              <w:spacing w:line="240" w:lineRule="exact"/>
              <w:rPr>
                <w:rFonts w:ascii="宋体" w:hAnsi="宋体"/>
                <w:szCs w:val="21"/>
              </w:rPr>
            </w:pPr>
            <w:r>
              <w:rPr>
                <w:rFonts w:hint="eastAsia" w:ascii="宋体" w:hAnsi="宋体"/>
                <w:szCs w:val="21"/>
              </w:rPr>
              <w:t>有害物质</w:t>
            </w:r>
          </w:p>
        </w:tc>
        <w:tc>
          <w:tcPr>
            <w:tcW w:w="5757" w:type="dxa"/>
            <w:vAlign w:val="center"/>
          </w:tcPr>
          <w:p w14:paraId="6572DA07">
            <w:pPr>
              <w:spacing w:line="240" w:lineRule="exact"/>
              <w:rPr>
                <w:rFonts w:ascii="宋体" w:hAnsi="宋体"/>
                <w:szCs w:val="21"/>
              </w:rPr>
            </w:pPr>
            <w:r>
              <w:rPr>
                <w:rFonts w:hint="eastAsia" w:ascii="宋体" w:hAnsi="宋体"/>
                <w:szCs w:val="21"/>
              </w:rPr>
              <w:t>杜绝使用有害身体健康、有害环境安全的物质和材料。</w:t>
            </w:r>
          </w:p>
        </w:tc>
      </w:tr>
      <w:tr w14:paraId="1174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082" w:type="dxa"/>
            <w:shd w:val="clear" w:color="auto" w:fill="D7D7D7"/>
            <w:vAlign w:val="center"/>
          </w:tcPr>
          <w:p w14:paraId="1A95D4CE">
            <w:pPr>
              <w:spacing w:line="240" w:lineRule="exact"/>
              <w:jc w:val="center"/>
              <w:rPr>
                <w:rFonts w:ascii="宋体" w:hAnsi="宋体"/>
                <w:b/>
                <w:bCs/>
                <w:szCs w:val="21"/>
              </w:rPr>
            </w:pPr>
            <w:r>
              <w:rPr>
                <w:rFonts w:hint="eastAsia" w:ascii="宋体" w:hAnsi="宋体"/>
                <w:b/>
                <w:bCs/>
                <w:szCs w:val="21"/>
              </w:rPr>
              <w:t>环境</w:t>
            </w:r>
          </w:p>
          <w:p w14:paraId="0111B0FE">
            <w:pPr>
              <w:spacing w:line="240" w:lineRule="exact"/>
              <w:jc w:val="center"/>
              <w:rPr>
                <w:rFonts w:ascii="宋体" w:hAnsi="宋体"/>
                <w:b/>
                <w:bCs/>
                <w:szCs w:val="21"/>
              </w:rPr>
            </w:pPr>
            <w:r>
              <w:rPr>
                <w:rFonts w:hint="eastAsia" w:ascii="宋体" w:hAnsi="宋体"/>
                <w:b/>
                <w:bCs/>
                <w:szCs w:val="21"/>
              </w:rPr>
              <w:t>污染</w:t>
            </w:r>
          </w:p>
        </w:tc>
        <w:tc>
          <w:tcPr>
            <w:tcW w:w="1621" w:type="dxa"/>
            <w:vAlign w:val="center"/>
          </w:tcPr>
          <w:p w14:paraId="1EBFB5B3">
            <w:pPr>
              <w:spacing w:line="240" w:lineRule="exact"/>
              <w:rPr>
                <w:rFonts w:ascii="宋体" w:hAnsi="宋体"/>
                <w:szCs w:val="21"/>
              </w:rPr>
            </w:pPr>
            <w:r>
              <w:rPr>
                <w:rFonts w:hint="eastAsia" w:ascii="宋体" w:hAnsi="宋体"/>
                <w:szCs w:val="21"/>
              </w:rPr>
              <w:t>废水、废气、噪音、固体废弃物等会对周边环境带来污染。</w:t>
            </w:r>
          </w:p>
        </w:tc>
        <w:tc>
          <w:tcPr>
            <w:tcW w:w="5757" w:type="dxa"/>
            <w:vAlign w:val="center"/>
          </w:tcPr>
          <w:p w14:paraId="3BAA5B10">
            <w:pPr>
              <w:spacing w:line="240" w:lineRule="exact"/>
              <w:rPr>
                <w:rFonts w:ascii="宋体" w:hAnsi="宋体"/>
                <w:szCs w:val="21"/>
              </w:rPr>
            </w:pPr>
            <w:r>
              <w:rPr>
                <w:rFonts w:hint="eastAsia" w:ascii="宋体" w:hAnsi="宋体"/>
                <w:szCs w:val="21"/>
              </w:rPr>
              <w:t>对环境会带来污染的环境因素严格执行除尘系统净化达标后排放</w:t>
            </w:r>
            <w:r>
              <w:rPr>
                <w:rFonts w:ascii="宋体" w:hAnsi="宋体"/>
                <w:szCs w:val="21"/>
              </w:rPr>
              <w:t xml:space="preserve"> </w:t>
            </w:r>
          </w:p>
        </w:tc>
      </w:tr>
      <w:tr w14:paraId="0C8A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82" w:type="dxa"/>
            <w:shd w:val="clear" w:color="auto" w:fill="D7D7D7"/>
            <w:vAlign w:val="center"/>
          </w:tcPr>
          <w:p w14:paraId="33131FCF">
            <w:pPr>
              <w:spacing w:line="240" w:lineRule="exact"/>
              <w:jc w:val="center"/>
              <w:rPr>
                <w:rFonts w:ascii="宋体" w:hAnsi="宋体"/>
                <w:b/>
                <w:bCs/>
                <w:szCs w:val="21"/>
              </w:rPr>
            </w:pPr>
            <w:r>
              <w:rPr>
                <w:rFonts w:hint="eastAsia" w:ascii="宋体" w:hAnsi="宋体"/>
                <w:b/>
                <w:bCs/>
                <w:szCs w:val="21"/>
              </w:rPr>
              <w:t>能源消耗</w:t>
            </w:r>
          </w:p>
        </w:tc>
        <w:tc>
          <w:tcPr>
            <w:tcW w:w="1621" w:type="dxa"/>
            <w:vAlign w:val="center"/>
          </w:tcPr>
          <w:p w14:paraId="7FB81C31">
            <w:pPr>
              <w:spacing w:line="240" w:lineRule="exact"/>
              <w:rPr>
                <w:rFonts w:ascii="宋体" w:hAnsi="宋体"/>
                <w:szCs w:val="21"/>
              </w:rPr>
            </w:pPr>
            <w:r>
              <w:rPr>
                <w:rFonts w:hint="eastAsia" w:ascii="宋体" w:hAnsi="宋体"/>
                <w:szCs w:val="21"/>
              </w:rPr>
              <w:t>水、电、蒸汽、天然气消耗。</w:t>
            </w:r>
          </w:p>
        </w:tc>
        <w:tc>
          <w:tcPr>
            <w:tcW w:w="5757" w:type="dxa"/>
            <w:vAlign w:val="center"/>
          </w:tcPr>
          <w:p w14:paraId="551E7564">
            <w:pPr>
              <w:spacing w:line="240" w:lineRule="exact"/>
              <w:rPr>
                <w:rFonts w:ascii="宋体" w:hAnsi="宋体"/>
                <w:szCs w:val="21"/>
              </w:rPr>
            </w:pPr>
            <w:r>
              <w:rPr>
                <w:rFonts w:hint="eastAsia" w:ascii="宋体" w:hAnsi="宋体"/>
                <w:szCs w:val="21"/>
              </w:rPr>
              <w:t>严格杜绝跑、冒、滴漏现象，自觉抵制长明灯、无人灯，做到随用随开、随停随闭，响应国家峰谷用电政策。</w:t>
            </w:r>
          </w:p>
        </w:tc>
      </w:tr>
      <w:tr w14:paraId="750F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082" w:type="dxa"/>
            <w:shd w:val="clear" w:color="auto" w:fill="D7D7D7"/>
            <w:vAlign w:val="center"/>
          </w:tcPr>
          <w:p w14:paraId="66C55E4C">
            <w:pPr>
              <w:spacing w:line="240" w:lineRule="exact"/>
              <w:jc w:val="center"/>
              <w:rPr>
                <w:rFonts w:ascii="宋体" w:hAnsi="宋体"/>
                <w:b/>
                <w:bCs/>
                <w:szCs w:val="21"/>
              </w:rPr>
            </w:pPr>
            <w:r>
              <w:rPr>
                <w:rFonts w:hint="eastAsia" w:ascii="宋体" w:hAnsi="宋体"/>
                <w:b/>
                <w:bCs/>
                <w:szCs w:val="21"/>
              </w:rPr>
              <w:t>安全生产</w:t>
            </w:r>
          </w:p>
        </w:tc>
        <w:tc>
          <w:tcPr>
            <w:tcW w:w="1621" w:type="dxa"/>
            <w:vAlign w:val="center"/>
          </w:tcPr>
          <w:p w14:paraId="3CBF785B">
            <w:pPr>
              <w:spacing w:line="240" w:lineRule="exact"/>
              <w:rPr>
                <w:rFonts w:ascii="宋体" w:hAnsi="宋体"/>
                <w:szCs w:val="21"/>
              </w:rPr>
            </w:pPr>
            <w:r>
              <w:rPr>
                <w:rFonts w:hint="eastAsia" w:ascii="宋体" w:hAnsi="宋体"/>
                <w:szCs w:val="21"/>
              </w:rPr>
              <w:t>火警、火灾事故会对周边居民生活带来影响。</w:t>
            </w:r>
          </w:p>
        </w:tc>
        <w:tc>
          <w:tcPr>
            <w:tcW w:w="5757" w:type="dxa"/>
            <w:vAlign w:val="center"/>
          </w:tcPr>
          <w:p w14:paraId="1879005F">
            <w:pPr>
              <w:spacing w:line="240" w:lineRule="exact"/>
              <w:rPr>
                <w:rFonts w:ascii="宋体" w:hAnsi="宋体"/>
                <w:szCs w:val="21"/>
              </w:rPr>
            </w:pPr>
            <w:r>
              <w:rPr>
                <w:rFonts w:hint="eastAsia" w:ascii="宋体" w:hAnsi="宋体"/>
                <w:szCs w:val="21"/>
              </w:rPr>
              <w:t>安全生产以预防为主，从源头抓起，从制度层面到每一个作业环节，杜绝安全隐患源，从领导到员工人人关心安全，抵制不安全行为，杜绝安全事故发生。同时做到突发事件应急预案，实现事故为零。</w:t>
            </w:r>
          </w:p>
        </w:tc>
      </w:tr>
      <w:tr w14:paraId="497C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1082" w:type="dxa"/>
            <w:shd w:val="clear" w:color="auto" w:fill="D7D7D7"/>
            <w:vAlign w:val="center"/>
          </w:tcPr>
          <w:p w14:paraId="7F906D6A">
            <w:pPr>
              <w:spacing w:line="240" w:lineRule="exact"/>
              <w:jc w:val="center"/>
              <w:rPr>
                <w:rFonts w:ascii="宋体" w:hAnsi="宋体"/>
                <w:b/>
                <w:bCs/>
                <w:szCs w:val="21"/>
              </w:rPr>
            </w:pPr>
            <w:r>
              <w:rPr>
                <w:rFonts w:hint="eastAsia" w:ascii="宋体" w:hAnsi="宋体"/>
                <w:b/>
                <w:bCs/>
                <w:szCs w:val="21"/>
              </w:rPr>
              <w:t>公共</w:t>
            </w:r>
          </w:p>
          <w:p w14:paraId="62C27C9C">
            <w:pPr>
              <w:spacing w:line="240" w:lineRule="exact"/>
              <w:jc w:val="center"/>
              <w:rPr>
                <w:rFonts w:ascii="宋体" w:hAnsi="宋体"/>
                <w:b/>
                <w:bCs/>
                <w:szCs w:val="21"/>
              </w:rPr>
            </w:pPr>
            <w:r>
              <w:rPr>
                <w:rFonts w:hint="eastAsia" w:ascii="宋体" w:hAnsi="宋体"/>
                <w:b/>
                <w:bCs/>
                <w:szCs w:val="21"/>
              </w:rPr>
              <w:t>卫生</w:t>
            </w:r>
          </w:p>
        </w:tc>
        <w:tc>
          <w:tcPr>
            <w:tcW w:w="1621" w:type="dxa"/>
            <w:vAlign w:val="center"/>
          </w:tcPr>
          <w:p w14:paraId="5A334550">
            <w:pPr>
              <w:spacing w:line="240" w:lineRule="exact"/>
              <w:rPr>
                <w:rFonts w:ascii="宋体" w:hAnsi="宋体"/>
                <w:szCs w:val="21"/>
              </w:rPr>
            </w:pPr>
            <w:r>
              <w:rPr>
                <w:rFonts w:hint="eastAsia" w:ascii="宋体" w:hAnsi="宋体"/>
                <w:szCs w:val="21"/>
              </w:rPr>
              <w:t>生活垃圾、固废等会影响员工健康与环境</w:t>
            </w:r>
          </w:p>
        </w:tc>
        <w:tc>
          <w:tcPr>
            <w:tcW w:w="5757" w:type="dxa"/>
            <w:vAlign w:val="center"/>
          </w:tcPr>
          <w:p w14:paraId="7BF6E354">
            <w:pPr>
              <w:spacing w:line="240" w:lineRule="exact"/>
              <w:rPr>
                <w:rFonts w:ascii="宋体" w:hAnsi="宋体"/>
                <w:szCs w:val="21"/>
              </w:rPr>
            </w:pPr>
            <w:r>
              <w:rPr>
                <w:rFonts w:hint="eastAsia" w:ascii="宋体" w:hAnsi="宋体"/>
                <w:szCs w:val="21"/>
              </w:rPr>
              <w:t>推行自查自纠为主，环境卫生无死角，生活垃圾废弃物分类存放，HSE检查做到每天有检查、当天整改有提高，奖惩及时兑现；社会监督为辅，自觉接受社会监督，定期听取周边社区、政府部门意见，不断改进提高。</w:t>
            </w:r>
          </w:p>
        </w:tc>
      </w:tr>
    </w:tbl>
    <w:p w14:paraId="3577F0FE">
      <w:pPr>
        <w:spacing w:line="360" w:lineRule="auto"/>
        <w:ind w:firstLine="480" w:firstLineChars="200"/>
        <w:rPr>
          <w:rFonts w:ascii="宋体" w:hAnsi="宋体"/>
          <w:sz w:val="24"/>
        </w:rPr>
      </w:pPr>
    </w:p>
    <w:p w14:paraId="5564FE9D">
      <w:pPr>
        <w:spacing w:line="360" w:lineRule="auto"/>
        <w:ind w:firstLine="480" w:firstLineChars="200"/>
        <w:rPr>
          <w:rFonts w:ascii="宋体" w:hAnsi="宋体"/>
          <w:b/>
          <w:sz w:val="24"/>
        </w:rPr>
      </w:pPr>
      <w:r>
        <w:rPr>
          <w:rFonts w:hint="eastAsia" w:ascii="宋体" w:hAnsi="宋体"/>
          <w:b/>
          <w:sz w:val="24"/>
        </w:rPr>
        <w:t>(3)识别和评估相关风险，在合法合规的基础上持续提升</w:t>
      </w:r>
    </w:p>
    <w:p w14:paraId="1E88ABAC">
      <w:pPr>
        <w:spacing w:line="360" w:lineRule="auto"/>
        <w:ind w:firstLine="480" w:firstLineChars="200"/>
        <w:rPr>
          <w:rFonts w:ascii="宋体" w:hAnsi="宋体"/>
          <w:sz w:val="24"/>
        </w:rPr>
      </w:pPr>
      <w:r>
        <w:rPr>
          <w:rFonts w:hint="eastAsia" w:ascii="宋体" w:hAnsi="宋体" w:eastAsia="宋体"/>
          <w:sz w:val="24"/>
          <w:lang w:eastAsia="zh-CN"/>
        </w:rPr>
        <w:t>常州理工科技股份有限公司</w:t>
      </w:r>
      <w:r>
        <w:rPr>
          <w:rFonts w:hint="eastAsia" w:ascii="宋体" w:hAnsi="宋体"/>
          <w:sz w:val="24"/>
        </w:rPr>
        <w:t>高层将法律、法规作为必须条件和最低要求的同时，深刻认识到肩负的社会责任的意义，在识别和评估相关风险的基础上，建立遵循法律法规要求和应对相关风险的关键过程及绩效指标，制定预防、控制程序和改进方案，在持续改进的基础上达到更高水平。</w:t>
      </w:r>
    </w:p>
    <w:p w14:paraId="7C2EA8C4">
      <w:pPr>
        <w:spacing w:line="360" w:lineRule="auto"/>
        <w:ind w:firstLine="480" w:firstLineChars="200"/>
        <w:rPr>
          <w:rFonts w:ascii="宋体" w:hAnsi="宋体"/>
          <w:sz w:val="24"/>
        </w:rPr>
      </w:pPr>
      <w:r>
        <w:rPr>
          <w:rFonts w:hint="eastAsia" w:ascii="宋体" w:hAnsi="宋体"/>
          <w:sz w:val="24"/>
        </w:rPr>
        <w:t>以节能减排、保护环境为例：</w:t>
      </w:r>
      <w:r>
        <w:rPr>
          <w:rFonts w:hint="eastAsia" w:ascii="宋体" w:hAnsi="宋体" w:eastAsia="宋体"/>
          <w:sz w:val="24"/>
          <w:lang w:eastAsia="zh-CN"/>
        </w:rPr>
        <w:t>常州理工科技股份有限公司</w:t>
      </w:r>
      <w:r>
        <w:rPr>
          <w:rFonts w:hint="eastAsia" w:ascii="宋体" w:hAnsi="宋体"/>
          <w:sz w:val="24"/>
        </w:rPr>
        <w:t>在严格执行“环境影响评价”、严格执行各项环境保护法律法规，落实环保减排、节能降耗的有关政策。</w:t>
      </w:r>
    </w:p>
    <w:p w14:paraId="250D6BC1">
      <w:pPr>
        <w:spacing w:line="360" w:lineRule="auto"/>
        <w:ind w:firstLine="480" w:firstLineChars="200"/>
        <w:rPr>
          <w:rFonts w:ascii="宋体" w:hAnsi="宋体"/>
          <w:sz w:val="24"/>
        </w:rPr>
      </w:pPr>
      <w:r>
        <w:rPr>
          <w:rFonts w:hint="eastAsia" w:ascii="宋体" w:hAnsi="宋体"/>
          <w:sz w:val="24"/>
        </w:rPr>
        <w:t>公司专门成立了HSE办公室，落实HSE职业健康、安全、环境考核奖惩制度，建立各车间能耗定额指标考核体系，大力开展节能、环保培训和宣传教育，瞄准国际一流企业标准，投入专项资金用于环境治理、新产品研发和新工艺改进工作。</w:t>
      </w:r>
    </w:p>
    <w:p w14:paraId="71928512">
      <w:pPr>
        <w:spacing w:line="360" w:lineRule="auto"/>
        <w:rPr>
          <w:rFonts w:ascii="宋体" w:hAnsi="宋体"/>
          <w:sz w:val="24"/>
        </w:rPr>
      </w:pPr>
    </w:p>
    <w:p w14:paraId="1D07F19C">
      <w:pPr>
        <w:spacing w:line="360" w:lineRule="auto"/>
        <w:outlineLvl w:val="1"/>
        <w:rPr>
          <w:rFonts w:ascii="宋体" w:hAnsi="宋体"/>
          <w:b/>
          <w:sz w:val="24"/>
        </w:rPr>
      </w:pPr>
      <w:bookmarkStart w:id="20" w:name="_Toc522175454"/>
      <w:r>
        <w:rPr>
          <w:rFonts w:hint="eastAsia" w:ascii="宋体" w:hAnsi="宋体"/>
          <w:b/>
          <w:sz w:val="24"/>
        </w:rPr>
        <w:t>2、道德行为</w:t>
      </w:r>
      <w:bookmarkEnd w:id="20"/>
    </w:p>
    <w:p w14:paraId="54CCC111">
      <w:pPr>
        <w:spacing w:line="360" w:lineRule="auto"/>
        <w:ind w:firstLine="480" w:firstLineChars="200"/>
        <w:rPr>
          <w:rFonts w:ascii="宋体" w:hAnsi="宋体"/>
          <w:sz w:val="24"/>
        </w:rPr>
      </w:pPr>
      <w:r>
        <w:rPr>
          <w:rFonts w:hint="eastAsia" w:ascii="宋体" w:hAnsi="宋体"/>
          <w:sz w:val="24"/>
        </w:rPr>
        <w:t>企业道德行为是组织在决策、行动以及与利益相关方间交往活动中，遵守道德准则和职业操守的表现。从高层领导到一般员工都应遵守道德规范，并影响组织的利益相关方。</w:t>
      </w:r>
    </w:p>
    <w:p w14:paraId="4E178962">
      <w:pPr>
        <w:spacing w:line="360" w:lineRule="auto"/>
        <w:ind w:firstLine="480" w:firstLineChars="200"/>
        <w:rPr>
          <w:rFonts w:ascii="宋体" w:hAnsi="宋体"/>
          <w:sz w:val="24"/>
        </w:rPr>
      </w:pPr>
      <w:r>
        <w:rPr>
          <w:rFonts w:hint="eastAsia" w:ascii="宋体" w:hAnsi="宋体" w:eastAsia="宋体"/>
          <w:sz w:val="24"/>
          <w:lang w:eastAsia="zh-CN"/>
        </w:rPr>
        <w:t>常州理工科技股份有限公司</w:t>
      </w:r>
      <w:r>
        <w:rPr>
          <w:rFonts w:hint="eastAsia" w:ascii="宋体" w:hAnsi="宋体"/>
          <w:sz w:val="24"/>
        </w:rPr>
        <w:t>高层领导从自身做起，秉承“激情、创新、严谨、诚信、高效”的企业精神，在公司内外形成了良好的道德行为规范。</w:t>
      </w:r>
    </w:p>
    <w:p w14:paraId="77FE5721">
      <w:pPr>
        <w:spacing w:line="360" w:lineRule="auto"/>
        <w:ind w:firstLine="480" w:firstLineChars="200"/>
        <w:rPr>
          <w:rFonts w:ascii="宋体" w:hAnsi="宋体"/>
          <w:b/>
          <w:sz w:val="24"/>
        </w:rPr>
      </w:pPr>
      <w:r>
        <w:rPr>
          <w:rFonts w:hint="eastAsia" w:ascii="宋体" w:hAnsi="宋体"/>
          <w:b/>
          <w:sz w:val="24"/>
        </w:rPr>
        <w:t>(1)营造诚信守法经营环境</w:t>
      </w:r>
    </w:p>
    <w:p w14:paraId="736187B8">
      <w:pPr>
        <w:spacing w:line="360" w:lineRule="auto"/>
        <w:ind w:firstLine="480" w:firstLineChars="200"/>
        <w:rPr>
          <w:rFonts w:ascii="宋体" w:hAnsi="宋体"/>
          <w:sz w:val="24"/>
        </w:rPr>
      </w:pPr>
      <w:r>
        <w:rPr>
          <w:rFonts w:hint="eastAsia" w:ascii="宋体" w:hAnsi="宋体"/>
          <w:sz w:val="24"/>
        </w:rPr>
        <w:t>诚信作为</w:t>
      </w:r>
      <w:r>
        <w:rPr>
          <w:rFonts w:hint="eastAsia" w:ascii="宋体" w:hAnsi="宋体" w:eastAsia="宋体"/>
          <w:sz w:val="24"/>
          <w:lang w:eastAsia="zh-CN"/>
        </w:rPr>
        <w:t>常州理工科技股份有限公司</w:t>
      </w:r>
      <w:r>
        <w:rPr>
          <w:rFonts w:hint="eastAsia" w:ascii="宋体" w:hAnsi="宋体"/>
          <w:sz w:val="24"/>
        </w:rPr>
        <w:t>公司组织道德行为中的基本准则。高层领导率先垂范，在整个组织中倡导诚信、践行诚信。</w:t>
      </w:r>
    </w:p>
    <w:p w14:paraId="364F7894">
      <w:pPr>
        <w:spacing w:line="360" w:lineRule="auto"/>
        <w:ind w:firstLine="480" w:firstLineChars="200"/>
        <w:rPr>
          <w:rFonts w:ascii="宋体" w:hAnsi="宋体"/>
          <w:sz w:val="24"/>
        </w:rPr>
      </w:pPr>
      <w:r>
        <w:rPr>
          <w:rFonts w:hint="eastAsia" w:ascii="宋体" w:hAnsi="宋体"/>
          <w:b/>
          <w:sz w:val="24"/>
        </w:rPr>
        <w:t>员工诚信守法的承诺：</w:t>
      </w:r>
      <w:r>
        <w:rPr>
          <w:rFonts w:hint="eastAsia" w:ascii="宋体" w:hAnsi="宋体"/>
          <w:sz w:val="24"/>
        </w:rPr>
        <w:t>企业与所有员工签订劳动合同的同时，对员工的职业道德、诚信守法、廉洁自律、保密等进行了严格规定。</w:t>
      </w:r>
    </w:p>
    <w:p w14:paraId="21D19125">
      <w:pPr>
        <w:spacing w:line="360" w:lineRule="auto"/>
        <w:ind w:firstLine="480" w:firstLineChars="200"/>
        <w:rPr>
          <w:rFonts w:ascii="宋体" w:hAnsi="宋体"/>
          <w:sz w:val="24"/>
        </w:rPr>
      </w:pPr>
      <w:r>
        <w:rPr>
          <w:rFonts w:hint="eastAsia" w:ascii="宋体" w:hAnsi="宋体"/>
          <w:b/>
          <w:sz w:val="24"/>
        </w:rPr>
        <w:t>供应商管理：</w:t>
      </w:r>
      <w:r>
        <w:rPr>
          <w:rFonts w:hint="eastAsia" w:ascii="宋体" w:hAnsi="宋体"/>
          <w:sz w:val="24"/>
        </w:rPr>
        <w:t>公司在与供应商签订格式条款采购合同时，本着公平公正的原则，充分保障供应商和公司的合理利益。公司建立了严格的供应商评价制度，对新供应商的资质、诚信记录、质量等进行严格的审查。每年对所有供应商的诚信情况进行评估，对出现诚信问题的供应商予以淘汰或处罚。</w:t>
      </w:r>
    </w:p>
    <w:p w14:paraId="7FBA07F0">
      <w:pPr>
        <w:spacing w:line="360" w:lineRule="auto"/>
        <w:ind w:firstLine="480" w:firstLineChars="200"/>
        <w:rPr>
          <w:rFonts w:ascii="宋体" w:hAnsi="宋体"/>
          <w:sz w:val="24"/>
        </w:rPr>
      </w:pPr>
      <w:r>
        <w:rPr>
          <w:rFonts w:hint="eastAsia" w:ascii="宋体" w:hAnsi="宋体"/>
          <w:b/>
          <w:sz w:val="24"/>
        </w:rPr>
        <w:t>客户合同管理：</w:t>
      </w:r>
      <w:r>
        <w:rPr>
          <w:rFonts w:hint="eastAsia" w:ascii="宋体" w:hAnsi="宋体"/>
          <w:sz w:val="24"/>
        </w:rPr>
        <w:t>公司对客户以诚信、公平、守法为原则，制订并认真执行《采购合同流程》，对涉及的商务、技术等相关条款由相关部门进行相应的技术和商务评审，并由对口分管领导签批，确保公司和客户的利益不受损害。</w:t>
      </w:r>
    </w:p>
    <w:p w14:paraId="1ECF77AD">
      <w:pPr>
        <w:spacing w:line="360" w:lineRule="auto"/>
        <w:ind w:firstLine="480" w:firstLineChars="200"/>
        <w:rPr>
          <w:rFonts w:ascii="宋体" w:hAnsi="宋体"/>
          <w:b/>
          <w:sz w:val="24"/>
        </w:rPr>
      </w:pPr>
      <w:r>
        <w:rPr>
          <w:rFonts w:hint="eastAsia" w:ascii="宋体" w:hAnsi="宋体"/>
          <w:b/>
          <w:sz w:val="24"/>
        </w:rPr>
        <w:t>(2)道德规范的监测</w:t>
      </w:r>
    </w:p>
    <w:p w14:paraId="182EFA7F">
      <w:pPr>
        <w:spacing w:line="360" w:lineRule="auto"/>
        <w:ind w:firstLine="480" w:firstLineChars="200"/>
        <w:rPr>
          <w:rFonts w:ascii="宋体" w:hAnsi="宋体"/>
          <w:sz w:val="24"/>
        </w:rPr>
      </w:pPr>
      <w:r>
        <w:rPr>
          <w:rFonts w:hint="eastAsia" w:ascii="宋体" w:hAnsi="宋体"/>
          <w:sz w:val="24"/>
        </w:rPr>
        <w:t>企业日常运营中的道德行为主要表现为：企业内部对投资方、领导及员工负责；在企业间对供应商及合作伙伴负责；企业外部对客户、政府和社会负责。公司的道德行为融入了公司运营的每个环节，最终凝聚为公司的企业文化。</w:t>
      </w:r>
    </w:p>
    <w:p w14:paraId="5D4C9B06">
      <w:pPr>
        <w:spacing w:line="360" w:lineRule="auto"/>
        <w:ind w:firstLine="480" w:firstLineChars="200"/>
        <w:rPr>
          <w:rFonts w:ascii="宋体" w:hAnsi="宋体"/>
          <w:sz w:val="24"/>
        </w:rPr>
      </w:pPr>
      <w:r>
        <w:rPr>
          <w:rFonts w:hint="eastAsia" w:ascii="宋体" w:hAnsi="宋体" w:eastAsia="宋体"/>
          <w:sz w:val="24"/>
          <w:lang w:eastAsia="zh-CN"/>
        </w:rPr>
        <w:t>常州理工科技股份有限公司</w:t>
      </w:r>
      <w:r>
        <w:rPr>
          <w:rFonts w:hint="eastAsia" w:ascii="宋体" w:hAnsi="宋体"/>
          <w:sz w:val="24"/>
        </w:rPr>
        <w:t>倡导诚信经营，在质量安全、节能环保、纳税等方面，严格遵守法律法规、行业标准以及客户要求等道德规范，主动接受员工、投资人、客户、社会各方的监督、监测，经得起时间与各方的考量。</w:t>
      </w:r>
    </w:p>
    <w:p w14:paraId="3126F092">
      <w:pPr>
        <w:pStyle w:val="17"/>
        <w:numPr>
          <w:ilvl w:val="0"/>
          <w:numId w:val="1"/>
        </w:numPr>
        <w:spacing w:line="360" w:lineRule="auto"/>
        <w:ind w:left="641" w:hanging="357" w:firstLineChars="0"/>
        <w:outlineLvl w:val="1"/>
        <w:rPr>
          <w:rFonts w:ascii="宋体" w:hAnsi="宋体"/>
          <w:b/>
          <w:szCs w:val="21"/>
        </w:rPr>
      </w:pPr>
      <w:bookmarkStart w:id="21" w:name="_Toc522175455"/>
      <w:r>
        <w:rPr>
          <w:rFonts w:hint="eastAsia" w:ascii="宋体" w:hAnsi="宋体"/>
          <w:b/>
          <w:szCs w:val="21"/>
        </w:rPr>
        <w:t>自愿开展公益支持：</w:t>
      </w:r>
      <w:bookmarkEnd w:id="21"/>
    </w:p>
    <w:p w14:paraId="3DE7DF0A">
      <w:pPr>
        <w:spacing w:line="360" w:lineRule="auto"/>
        <w:ind w:firstLine="480" w:firstLineChars="200"/>
        <w:rPr>
          <w:rFonts w:ascii="宋体" w:hAnsi="宋体"/>
          <w:sz w:val="24"/>
        </w:rPr>
      </w:pPr>
      <w:r>
        <w:rPr>
          <w:rFonts w:hint="eastAsia" w:ascii="宋体" w:hAnsi="宋体"/>
          <w:sz w:val="24"/>
        </w:rPr>
        <w:t>公益支持是组织超越法规和道德承诺之外的社会责任，是组织在资源条件许可的条件下，提升在社会责任方面的成熟度，是成为卓越企业的表现机会和途径。</w:t>
      </w:r>
    </w:p>
    <w:p w14:paraId="03645FD9">
      <w:pPr>
        <w:spacing w:line="360" w:lineRule="auto"/>
        <w:rPr>
          <w:rFonts w:hint="eastAsia" w:ascii="宋体" w:hAnsi="宋体"/>
          <w:sz w:val="24"/>
        </w:rPr>
      </w:pPr>
      <w:r>
        <w:rPr>
          <w:rFonts w:hint="eastAsia" w:ascii="宋体" w:hAnsi="宋体" w:eastAsia="宋体"/>
          <w:sz w:val="24"/>
          <w:lang w:eastAsia="zh-CN"/>
        </w:rPr>
        <w:t>常州理工科技股份有限公司</w:t>
      </w:r>
      <w:r>
        <w:rPr>
          <w:rFonts w:hint="eastAsia" w:ascii="宋体" w:hAnsi="宋体"/>
          <w:sz w:val="24"/>
        </w:rPr>
        <w:t>在快速发展的同时，始</w:t>
      </w:r>
      <w:bookmarkStart w:id="22" w:name="_GoBack"/>
      <w:bookmarkEnd w:id="22"/>
      <w:r>
        <w:rPr>
          <w:rFonts w:hint="eastAsia" w:ascii="宋体" w:hAnsi="宋体"/>
          <w:sz w:val="24"/>
        </w:rPr>
        <w:t>终牢记回馈社会的责任，将爱心注入企业文化，用行动回馈社会。</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8614"/>
      </w:tblGrid>
      <w:tr w14:paraId="5A5A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614" w:type="dxa"/>
            <w:vAlign w:val="center"/>
          </w:tcPr>
          <w:p w14:paraId="1AE12842">
            <w:pPr>
              <w:spacing w:line="360" w:lineRule="auto"/>
              <w:jc w:val="center"/>
              <w:rPr>
                <w:rFonts w:hint="eastAsia" w:ascii="宋体" w:hAnsi="宋体" w:eastAsia="宋体"/>
                <w:sz w:val="24"/>
                <w:vertAlign w:val="baseline"/>
                <w:lang w:eastAsia="zh-CN"/>
              </w:rPr>
            </w:pPr>
            <w:r>
              <w:drawing>
                <wp:inline distT="0" distB="0" distL="114300" distR="114300">
                  <wp:extent cx="1369060" cy="1760220"/>
                  <wp:effectExtent l="0" t="0" r="254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369060" cy="1760220"/>
                          </a:xfrm>
                          <a:prstGeom prst="rect">
                            <a:avLst/>
                          </a:prstGeom>
                          <a:noFill/>
                          <a:ln>
                            <a:noFill/>
                          </a:ln>
                        </pic:spPr>
                      </pic:pic>
                    </a:graphicData>
                  </a:graphic>
                </wp:inline>
              </w:drawing>
            </w:r>
            <w:r>
              <w:drawing>
                <wp:inline distT="0" distB="0" distL="114300" distR="114300">
                  <wp:extent cx="2583815" cy="1785620"/>
                  <wp:effectExtent l="0" t="0" r="698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2583815" cy="1785620"/>
                          </a:xfrm>
                          <a:prstGeom prst="rect">
                            <a:avLst/>
                          </a:prstGeom>
                          <a:noFill/>
                          <a:ln>
                            <a:noFill/>
                          </a:ln>
                        </pic:spPr>
                      </pic:pic>
                    </a:graphicData>
                  </a:graphic>
                </wp:inline>
              </w:drawing>
            </w:r>
          </w:p>
        </w:tc>
      </w:tr>
    </w:tbl>
    <w:p w14:paraId="308382E4">
      <w:pPr>
        <w:spacing w:line="360" w:lineRule="auto"/>
        <w:rPr>
          <w:rFonts w:hint="eastAsia" w:ascii="宋体" w:hAnsi="宋体"/>
          <w:sz w:val="24"/>
        </w:rPr>
      </w:pPr>
    </w:p>
    <w:p w14:paraId="2DE75578">
      <w:pPr>
        <w:pStyle w:val="17"/>
        <w:spacing w:line="360" w:lineRule="auto"/>
        <w:ind w:left="644" w:firstLine="0" w:firstLineChars="0"/>
        <w:rPr>
          <w:rFonts w:ascii="宋体" w:hAnsi="宋体" w:cs="宋体"/>
          <w:sz w:val="24"/>
        </w:rPr>
      </w:pPr>
    </w:p>
    <w:p w14:paraId="1EC6B0D1">
      <w:pPr>
        <w:pStyle w:val="17"/>
        <w:spacing w:line="360" w:lineRule="auto"/>
        <w:ind w:left="644" w:firstLine="0" w:firstLineChars="0"/>
        <w:jc w:val="right"/>
        <w:rPr>
          <w:rFonts w:hint="eastAsia" w:ascii="宋体" w:hAnsi="宋体" w:eastAsia="宋体" w:cs="宋体"/>
          <w:b/>
          <w:sz w:val="24"/>
          <w:lang w:eastAsia="zh-CN"/>
        </w:rPr>
      </w:pPr>
      <w:r>
        <w:rPr>
          <w:rFonts w:hint="eastAsia" w:ascii="宋体" w:hAnsi="宋体" w:eastAsia="宋体" w:cs="宋体"/>
          <w:b/>
          <w:sz w:val="24"/>
          <w:lang w:eastAsia="zh-CN"/>
        </w:rPr>
        <w:t>常州理工科技股份有限公司</w:t>
      </w:r>
    </w:p>
    <w:p w14:paraId="4779FBB2">
      <w:pPr>
        <w:pStyle w:val="17"/>
        <w:spacing w:line="360" w:lineRule="auto"/>
        <w:ind w:left="644" w:firstLine="0" w:firstLineChars="0"/>
        <w:jc w:val="right"/>
        <w:rPr>
          <w:rFonts w:ascii="宋体" w:hAnsi="宋体"/>
          <w:b/>
          <w:szCs w:val="21"/>
        </w:rPr>
      </w:pPr>
      <w:r>
        <w:rPr>
          <w:rFonts w:hint="eastAsia" w:ascii="宋体" w:hAnsi="宋体" w:cs="宋体"/>
          <w:b/>
          <w:sz w:val="24"/>
        </w:rPr>
        <w:t>20</w:t>
      </w:r>
      <w:r>
        <w:rPr>
          <w:rFonts w:ascii="宋体" w:hAnsi="宋体" w:cs="宋体"/>
          <w:b/>
          <w:sz w:val="24"/>
        </w:rPr>
        <w:t>2</w:t>
      </w:r>
      <w:r>
        <w:rPr>
          <w:rFonts w:hint="eastAsia" w:ascii="宋体" w:hAnsi="宋体" w:eastAsia="宋体" w:cs="宋体"/>
          <w:b/>
          <w:sz w:val="24"/>
          <w:lang w:val="en-US" w:eastAsia="zh-CN"/>
        </w:rPr>
        <w:t>5</w:t>
      </w:r>
      <w:r>
        <w:rPr>
          <w:rFonts w:hint="eastAsia" w:ascii="宋体" w:hAnsi="宋体" w:cs="宋体"/>
          <w:b/>
          <w:sz w:val="24"/>
        </w:rPr>
        <w:t>年</w:t>
      </w:r>
      <w:r>
        <w:rPr>
          <w:rFonts w:hint="eastAsia" w:ascii="宋体" w:hAnsi="宋体" w:eastAsia="宋体" w:cs="宋体"/>
          <w:b/>
          <w:sz w:val="24"/>
          <w:lang w:val="en-US" w:eastAsia="zh-CN"/>
        </w:rPr>
        <w:t>3</w:t>
      </w:r>
      <w:r>
        <w:rPr>
          <w:rFonts w:hint="eastAsia" w:ascii="宋体" w:hAnsi="宋体" w:cs="宋体"/>
          <w:b/>
          <w:sz w:val="24"/>
        </w:rPr>
        <w:t>月15日</w:t>
      </w:r>
    </w:p>
    <w:p w14:paraId="226F05B9">
      <w:pPr>
        <w:keepNext w:val="0"/>
        <w:keepLines w:val="0"/>
        <w:pageBreakBefore w:val="0"/>
        <w:widowControl/>
        <w:kinsoku/>
        <w:wordWrap/>
        <w:overflowPunct/>
        <w:topLinePunct w:val="0"/>
        <w:autoSpaceDE w:val="0"/>
        <w:autoSpaceDN w:val="0"/>
        <w:bidi w:val="0"/>
        <w:adjustRightInd w:val="0"/>
        <w:snapToGrid w:val="0"/>
        <w:spacing w:before="2" w:line="219" w:lineRule="auto"/>
        <w:ind w:right="20"/>
        <w:jc w:val="right"/>
        <w:textAlignment w:val="baseline"/>
        <w:rPr>
          <w:rFonts w:ascii="宋体" w:hAnsi="宋体" w:eastAsia="宋体" w:cs="宋体"/>
          <w:sz w:val="28"/>
          <w:szCs w:val="28"/>
        </w:rPr>
      </w:pPr>
    </w:p>
    <w:sectPr>
      <w:pgSz w:w="11906" w:h="16839"/>
      <w:pgMar w:top="1431" w:right="1723" w:bottom="1304"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altName w:val="微软雅黑"/>
    <w:panose1 w:val="02000000000000000000"/>
    <w:charset w:val="86"/>
    <w:family w:val="script"/>
    <w:pitch w:val="default"/>
    <w:sig w:usb0="00000000" w:usb1="00000000" w:usb2="00000000" w:usb3="00000000" w:csb0="0016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Segoe UI">
    <w:panose1 w:val="020B0502040204020203"/>
    <w:charset w:val="00"/>
    <w:family w:val="auto"/>
    <w:pitch w:val="default"/>
    <w:sig w:usb0="E4002EFF" w:usb1="C000E47F"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5F5E2E"/>
    <w:multiLevelType w:val="multilevel"/>
    <w:tmpl w:val="165F5E2E"/>
    <w:lvl w:ilvl="0" w:tentative="0">
      <w:start w:val="3"/>
      <w:numFmt w:val="decimal"/>
      <w:lvlText w:val="%1、"/>
      <w:lvlJc w:val="left"/>
      <w:pPr>
        <w:ind w:left="644" w:hanging="360"/>
      </w:pPr>
      <w:rPr>
        <w:rFonts w:hint="default"/>
      </w:rPr>
    </w:lvl>
    <w:lvl w:ilvl="1" w:tentative="0">
      <w:start w:val="1"/>
      <w:numFmt w:val="lowerLetter"/>
      <w:lvlText w:val="%2)"/>
      <w:lvlJc w:val="left"/>
      <w:pPr>
        <w:ind w:left="1344" w:hanging="420"/>
      </w:pPr>
    </w:lvl>
    <w:lvl w:ilvl="2" w:tentative="0">
      <w:start w:val="1"/>
      <w:numFmt w:val="lowerRoman"/>
      <w:lvlText w:val="%3."/>
      <w:lvlJc w:val="right"/>
      <w:pPr>
        <w:ind w:left="1764" w:hanging="420"/>
      </w:pPr>
    </w:lvl>
    <w:lvl w:ilvl="3" w:tentative="0">
      <w:start w:val="1"/>
      <w:numFmt w:val="decimal"/>
      <w:lvlText w:val="%4."/>
      <w:lvlJc w:val="left"/>
      <w:pPr>
        <w:ind w:left="2184" w:hanging="420"/>
      </w:pPr>
    </w:lvl>
    <w:lvl w:ilvl="4" w:tentative="0">
      <w:start w:val="1"/>
      <w:numFmt w:val="lowerLetter"/>
      <w:lvlText w:val="%5)"/>
      <w:lvlJc w:val="left"/>
      <w:pPr>
        <w:ind w:left="2604" w:hanging="420"/>
      </w:pPr>
    </w:lvl>
    <w:lvl w:ilvl="5" w:tentative="0">
      <w:start w:val="1"/>
      <w:numFmt w:val="lowerRoman"/>
      <w:lvlText w:val="%6."/>
      <w:lvlJc w:val="right"/>
      <w:pPr>
        <w:ind w:left="3024" w:hanging="420"/>
      </w:pPr>
    </w:lvl>
    <w:lvl w:ilvl="6" w:tentative="0">
      <w:start w:val="1"/>
      <w:numFmt w:val="decimal"/>
      <w:lvlText w:val="%7."/>
      <w:lvlJc w:val="left"/>
      <w:pPr>
        <w:ind w:left="3444" w:hanging="420"/>
      </w:pPr>
    </w:lvl>
    <w:lvl w:ilvl="7" w:tentative="0">
      <w:start w:val="1"/>
      <w:numFmt w:val="lowerLetter"/>
      <w:lvlText w:val="%8)"/>
      <w:lvlJc w:val="left"/>
      <w:pPr>
        <w:ind w:left="3864" w:hanging="420"/>
      </w:pPr>
    </w:lvl>
    <w:lvl w:ilvl="8" w:tentative="0">
      <w:start w:val="1"/>
      <w:numFmt w:val="lowerRoman"/>
      <w:lvlText w:val="%9."/>
      <w:lvlJc w:val="right"/>
      <w:pPr>
        <w:ind w:left="428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jJjN2IyNjdmZTA0ODdkYzdhZTQxMjc3MTY1ODI1ZjMifQ=="/>
  </w:docVars>
  <w:rsids>
    <w:rsidRoot w:val="00000000"/>
    <w:rsid w:val="006C6F44"/>
    <w:rsid w:val="069939E2"/>
    <w:rsid w:val="09544BDC"/>
    <w:rsid w:val="0F7F62E0"/>
    <w:rsid w:val="104614F2"/>
    <w:rsid w:val="2B917D9C"/>
    <w:rsid w:val="2FC219B2"/>
    <w:rsid w:val="463A3DC0"/>
    <w:rsid w:val="48D76111"/>
    <w:rsid w:val="4AA91F1F"/>
    <w:rsid w:val="521165C2"/>
    <w:rsid w:val="57C63BF5"/>
    <w:rsid w:val="59AA3432"/>
    <w:rsid w:val="60315681"/>
    <w:rsid w:val="65067B3B"/>
    <w:rsid w:val="6F3F6EE7"/>
    <w:rsid w:val="723E2669"/>
    <w:rsid w:val="74D66B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qFormat/>
    <w:uiPriority w:val="0"/>
    <w:pPr>
      <w:keepNext/>
      <w:keepLines/>
      <w:spacing w:before="260" w:after="260" w:line="413" w:lineRule="auto"/>
      <w:outlineLvl w:val="2"/>
    </w:pPr>
    <w:rPr>
      <w:b/>
      <w:sz w:val="32"/>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4">
    <w:name w:val="Body Text"/>
    <w:basedOn w:val="1"/>
    <w:next w:val="5"/>
    <w:autoRedefine/>
    <w:semiHidden/>
    <w:qFormat/>
    <w:uiPriority w:val="0"/>
    <w:rPr>
      <w:rFonts w:ascii="Arial" w:hAnsi="Arial" w:eastAsia="Arial" w:cs="Arial"/>
      <w:sz w:val="21"/>
      <w:szCs w:val="21"/>
      <w:lang w:val="en-US" w:eastAsia="en-US" w:bidi="ar-SA"/>
    </w:rPr>
  </w:style>
  <w:style w:type="paragraph" w:styleId="5">
    <w:name w:val="Title"/>
    <w:basedOn w:val="1"/>
    <w:next w:val="1"/>
    <w:autoRedefine/>
    <w:qFormat/>
    <w:uiPriority w:val="10"/>
    <w:pPr>
      <w:spacing w:before="240" w:after="60"/>
      <w:outlineLvl w:val="1"/>
    </w:pPr>
    <w:rPr>
      <w:b/>
      <w:bCs/>
      <w:kern w:val="28"/>
      <w:szCs w:val="32"/>
    </w:rPr>
  </w:style>
  <w:style w:type="paragraph" w:styleId="6">
    <w:name w:val="toc 1"/>
    <w:basedOn w:val="1"/>
    <w:next w:val="1"/>
    <w:autoRedefine/>
    <w:qFormat/>
    <w:uiPriority w:val="0"/>
    <w:rPr>
      <w:rFonts w:ascii="方正仿宋_GBK" w:hAnsi="方正仿宋_GBK" w:eastAsia="仿宋" w:cs="Times New Roman"/>
      <w:sz w:val="24"/>
      <w:szCs w:val="22"/>
    </w:rPr>
  </w:style>
  <w:style w:type="paragraph" w:styleId="7">
    <w:name w:val="toc 2"/>
    <w:basedOn w:val="1"/>
    <w:next w:val="1"/>
    <w:autoRedefine/>
    <w:qFormat/>
    <w:uiPriority w:val="0"/>
    <w:pPr>
      <w:ind w:left="420" w:leftChars="200"/>
    </w:pPr>
    <w:rPr>
      <w:rFonts w:ascii="方正仿宋_GBK" w:hAnsi="方正仿宋_GBK" w:eastAsia="仿宋" w:cs="Times New Roman"/>
      <w:sz w:val="24"/>
      <w:szCs w:val="22"/>
    </w:rPr>
  </w:style>
  <w:style w:type="paragraph" w:styleId="8">
    <w:name w:val="Normal (Web)"/>
    <w:basedOn w:val="1"/>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Table Text"/>
    <w:basedOn w:val="1"/>
    <w:autoRedefine/>
    <w:semiHidden/>
    <w:qFormat/>
    <w:uiPriority w:val="0"/>
    <w:rPr>
      <w:rFonts w:ascii="宋体" w:hAnsi="宋体" w:eastAsia="宋体" w:cs="宋体"/>
      <w:sz w:val="28"/>
      <w:szCs w:val="28"/>
      <w:lang w:val="en-US" w:eastAsia="en-US" w:bidi="ar-SA"/>
    </w:rPr>
  </w:style>
  <w:style w:type="paragraph" w:customStyle="1" w:styleId="14">
    <w:name w:val="WPSOffice手动目录 1"/>
    <w:autoRedefine/>
    <w:qFormat/>
    <w:uiPriority w:val="0"/>
    <w:pPr>
      <w:ind w:leftChars="0"/>
    </w:pPr>
    <w:rPr>
      <w:rFonts w:ascii="Arial" w:hAnsi="Arial" w:eastAsia="Arial" w:cs="Arial"/>
      <w:sz w:val="20"/>
      <w:szCs w:val="20"/>
    </w:rPr>
  </w:style>
  <w:style w:type="paragraph" w:customStyle="1" w:styleId="15">
    <w:name w:val="WPSOffice手动目录 2"/>
    <w:autoRedefine/>
    <w:qFormat/>
    <w:uiPriority w:val="0"/>
    <w:pPr>
      <w:ind w:leftChars="200"/>
    </w:pPr>
    <w:rPr>
      <w:rFonts w:ascii="Arial" w:hAnsi="Arial" w:eastAsia="Arial" w:cs="Arial"/>
      <w:sz w:val="20"/>
      <w:szCs w:val="20"/>
    </w:rPr>
  </w:style>
  <w:style w:type="paragraph" w:customStyle="1" w:styleId="16">
    <w:name w:val="WPSOffice手动目录 3"/>
    <w:autoRedefine/>
    <w:qFormat/>
    <w:uiPriority w:val="0"/>
    <w:pPr>
      <w:ind w:leftChars="400"/>
    </w:pPr>
    <w:rPr>
      <w:rFonts w:ascii="Arial" w:hAnsi="Arial" w:eastAsia="Arial" w:cs="Arial"/>
      <w:sz w:val="20"/>
      <w:szCs w:val="20"/>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14</Pages>
  <Words>9579</Words>
  <Characters>10061</Characters>
  <TotalTime>0</TotalTime>
  <ScaleCrop>false</ScaleCrop>
  <LinksUpToDate>false</LinksUpToDate>
  <CharactersWithSpaces>10139</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2023-07-28T11:27:00Z</dcterms:created>
  <dc:creator>user</dc:creator>
  <cp:lastModifiedBy>WPS用户</cp:lastModifiedBy>
  <dcterms:modified xsi:type="dcterms:W3CDTF">2025-04-03T02:20:43Z</dcterms:modified>
  <dc:title>上能电气股份有限公司社会责任报告</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2024-01-18T16:54:36Z</vt:filetime>
  </property>
  <property fmtid="{D5CDD505-2E9C-101B-9397-08002B2CF9AE}" pid="4" name="KSOProductBuildVer">
    <vt:lpwstr>2052-12.1.0.20305</vt:lpwstr>
  </property>
  <property fmtid="{D5CDD505-2E9C-101B-9397-08002B2CF9AE}" pid="5" name="ICV">
    <vt:lpwstr>EDB2301B30854D1FBA0801B4B10823BE_13</vt:lpwstr>
  </property>
  <property fmtid="{D5CDD505-2E9C-101B-9397-08002B2CF9AE}" pid="6" name="KSOTemplateDocerSaveRecord">
    <vt:lpwstr>eyJoZGlkIjoiYWQ1MGNlZjkzMjEwNDMzZWVmY2RlNjFlZWM5NzBjZTAiLCJ1c2VySWQiOiI2MzYyNDI4MjIifQ==</vt:lpwstr>
  </property>
</Properties>
</file>